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1530" w14:textId="7D69928D" w:rsidR="006770C3" w:rsidRPr="006770C3" w:rsidRDefault="00B20DB0" w:rsidP="006770C3">
      <w:pPr>
        <w:jc w:val="center"/>
        <w:rPr>
          <w:rFonts w:ascii="Times New Roman" w:hAnsi="Times New Roman"/>
          <w:b/>
          <w:sz w:val="24"/>
          <w:szCs w:val="24"/>
        </w:rPr>
      </w:pPr>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9E6095D" w14:textId="77777777" w:rsidR="00EC03F7" w:rsidRDefault="00EC03F7">
      <w:pPr>
        <w:rPr>
          <w:rFonts w:ascii="Times New Roman" w:hAnsi="Times New Roman"/>
          <w:b/>
          <w:sz w:val="24"/>
          <w:szCs w:val="24"/>
        </w:rPr>
      </w:pPr>
    </w:p>
    <w:p w14:paraId="43164D59" w14:textId="691DDE4C"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E85B9D">
      <w:pPr>
        <w:pStyle w:val="ListParagraph"/>
        <w:numPr>
          <w:ilvl w:val="0"/>
          <w:numId w:val="68"/>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40C20100" w:rsidR="00B20DB0" w:rsidRPr="00EC03F7" w:rsidRDefault="00B20DB0" w:rsidP="00B63B1F">
      <w:pPr>
        <w:numPr>
          <w:ilvl w:val="0"/>
          <w:numId w:val="106"/>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Calculation of the grant amount for travel costs</w:t>
      </w:r>
      <w:r w:rsidR="00EC03F7">
        <w:rPr>
          <w:rFonts w:ascii="Times New Roman" w:hAnsi="Times New Roman"/>
          <w:sz w:val="24"/>
          <w:szCs w:val="24"/>
        </w:rPr>
        <w:t xml:space="preserve"> </w:t>
      </w:r>
      <w:r>
        <w:rPr>
          <w:rFonts w:ascii="Times New Roman" w:hAnsi="Times New Roman"/>
          <w:sz w:val="24"/>
          <w:szCs w:val="24"/>
        </w:rPr>
        <w:t xml:space="preserve">the grant amount is calculated by multiplying the number of </w:t>
      </w:r>
      <w:r w:rsidRPr="00B578BC">
        <w:rPr>
          <w:rFonts w:ascii="Times New Roman" w:hAnsi="Times New Roman"/>
          <w:sz w:val="24"/>
          <w:szCs w:val="24"/>
        </w:rPr>
        <w:t>inbound and outbound</w:t>
      </w:r>
      <w:r>
        <w:rPr>
          <w:rFonts w:ascii="Times New Roman" w:eastAsia="Times New Roman" w:hAnsi="Times New Roman"/>
          <w:color w:val="000000"/>
          <w:sz w:val="24"/>
          <w:szCs w:val="24"/>
        </w:rPr>
        <w:t xml:space="preserve"> </w:t>
      </w:r>
      <w:r>
        <w:rPr>
          <w:rFonts w:ascii="Times New Roman" w:hAnsi="Times New Roman"/>
          <w:sz w:val="24"/>
          <w:szCs w:val="24"/>
        </w:rPr>
        <w:t>participants per distance band</w:t>
      </w:r>
      <w:r w:rsidR="00EC03F7">
        <w:rPr>
          <w:rFonts w:ascii="Times New Roman" w:hAnsi="Times New Roman"/>
          <w:sz w:val="24"/>
          <w:szCs w:val="24"/>
        </w:rPr>
        <w:t xml:space="preserve">,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6DAD31F7" w14:textId="77777777" w:rsidR="00EC03F7" w:rsidRDefault="00EC03F7" w:rsidP="00EC03F7">
      <w:pPr>
        <w:ind w:left="502"/>
        <w:jc w:val="both"/>
        <w:rPr>
          <w:rFonts w:ascii="Times New Roman" w:eastAsia="Times New Roman" w:hAnsi="Times New Roman"/>
          <w:color w:val="000000"/>
          <w:sz w:val="24"/>
          <w:szCs w:val="24"/>
          <w:shd w:val="clear" w:color="auto" w:fill="00FFFF"/>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6770C3"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369ACF2B" w:rsidR="00B20DB0" w:rsidRDefault="00B20DB0" w:rsidP="00E33F0A">
      <w:pPr>
        <w:numPr>
          <w:ilvl w:val="0"/>
          <w:numId w:val="3"/>
        </w:numPr>
        <w:tabs>
          <w:tab w:val="num" w:pos="567"/>
        </w:tabs>
        <w:spacing w:line="100" w:lineRule="atLeast"/>
        <w:ind w:left="567" w:hanging="56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2DA27217" w:rsidR="00F87693" w:rsidRPr="00B578BC" w:rsidRDefault="00EC03F7" w:rsidP="00EC03F7">
      <w:pPr>
        <w:spacing w:after="0" w:line="100" w:lineRule="atLeast"/>
        <w:ind w:left="567" w:hanging="567"/>
        <w:jc w:val="both"/>
        <w:rPr>
          <w:rFonts w:ascii="Times New Roman" w:hAnsi="Times New Roman"/>
          <w:color w:val="000000"/>
          <w:sz w:val="24"/>
          <w:szCs w:val="24"/>
        </w:rPr>
      </w:pPr>
      <w:r>
        <w:rPr>
          <w:rFonts w:ascii="Times New Roman" w:eastAsia="Times New Roman" w:hAnsi="Times New Roman"/>
          <w:color w:val="000000"/>
          <w:sz w:val="24"/>
          <w:szCs w:val="24"/>
        </w:rPr>
        <w:t xml:space="preserve">(c.1) </w:t>
      </w:r>
      <w:r w:rsidR="00B20DB0" w:rsidRPr="00E95980">
        <w:rPr>
          <w:rFonts w:ascii="Times New Roman" w:eastAsia="Times New Roman" w:hAnsi="Times New Roman"/>
          <w:color w:val="000000"/>
          <w:sz w:val="24"/>
          <w:szCs w:val="24"/>
        </w:rPr>
        <w:t xml:space="preserve">Supporting documents </w:t>
      </w:r>
      <w:r w:rsidR="00B20DB0" w:rsidRPr="00B578BC">
        <w:rPr>
          <w:rFonts w:ascii="Times New Roman" w:eastAsia="Times New Roman" w:hAnsi="Times New Roman"/>
          <w:color w:val="000000"/>
          <w:sz w:val="24"/>
          <w:szCs w:val="24"/>
        </w:rPr>
        <w:t>for staff:</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5E25C65" w14:textId="72DFA78F" w:rsidR="00B20DB0" w:rsidRDefault="00B20DB0" w:rsidP="00EC03F7">
      <w:pPr>
        <w:tabs>
          <w:tab w:val="left" w:pos="567"/>
        </w:tabs>
        <w:ind w:left="567" w:hanging="567"/>
        <w:jc w:val="both"/>
        <w:rPr>
          <w:rFonts w:ascii="Times New Roman" w:hAnsi="Times New Roman"/>
          <w:sz w:val="24"/>
          <w:szCs w:val="24"/>
        </w:rPr>
      </w:pPr>
      <w:r w:rsidRPr="00F3300A">
        <w:rPr>
          <w:rFonts w:ascii="Times New Roman" w:eastAsia="Times New Roman" w:hAnsi="Times New Roman"/>
          <w:color w:val="000000"/>
          <w:sz w:val="24"/>
          <w:szCs w:val="24"/>
        </w:rPr>
        <w:t>(c</w:t>
      </w:r>
      <w:r w:rsidR="00EC03F7">
        <w:rPr>
          <w:rFonts w:ascii="Times New Roman" w:eastAsia="Times New Roman" w:hAnsi="Times New Roman"/>
          <w:color w:val="000000"/>
          <w:sz w:val="24"/>
          <w:szCs w:val="24"/>
        </w:rPr>
        <w:t>.2</w:t>
      </w:r>
      <w:r w:rsidRPr="00F3300A">
        <w:rPr>
          <w:rFonts w:ascii="Times New Roman" w:eastAsia="Times New Roman" w:hAnsi="Times New Roman"/>
          <w:color w:val="000000"/>
          <w:sz w:val="24"/>
          <w:szCs w:val="24"/>
        </w:rPr>
        <w:t xml:space="preserve">) 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14:paraId="07FF8A07" w14:textId="77777777"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F3300A">
      <w:pPr>
        <w:pStyle w:val="ListParagraph"/>
        <w:numPr>
          <w:ilvl w:val="0"/>
          <w:numId w:val="61"/>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BC7854">
      <w:pPr>
        <w:pStyle w:val="ListParagraph"/>
        <w:numPr>
          <w:ilvl w:val="0"/>
          <w:numId w:val="89"/>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087367CD" w:rsidR="00B20DB0" w:rsidRDefault="00B20DB0" w:rsidP="00C81CCC">
      <w:pPr>
        <w:pStyle w:val="ListParagraph"/>
        <w:numPr>
          <w:ilvl w:val="0"/>
          <w:numId w:val="89"/>
        </w:numPr>
        <w:ind w:left="1985" w:hanging="425"/>
        <w:jc w:val="both"/>
      </w:pPr>
      <w:r>
        <w:rPr>
          <w:rFonts w:ascii="Times New Roman" w:hAnsi="Times New Roman"/>
          <w:sz w:val="24"/>
          <w:szCs w:val="24"/>
        </w:rPr>
        <w:t>Traineeship Certificate (or statement attached to it) in the case of mobility for traineeships</w:t>
      </w:r>
      <w:r w:rsidR="00EC03F7">
        <w:t>.</w:t>
      </w:r>
    </w:p>
    <w:p w14:paraId="195DCBD2" w14:textId="77777777" w:rsidR="00BC7854" w:rsidRDefault="00BC7854" w:rsidP="00BC7854">
      <w:pPr>
        <w:spacing w:after="0"/>
        <w:ind w:left="709"/>
        <w:jc w:val="both"/>
        <w:rPr>
          <w:rFonts w:ascii="Times New Roman" w:hAnsi="Times New Roman"/>
          <w:sz w:val="24"/>
          <w:szCs w:val="24"/>
        </w:rPr>
      </w:pP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0BCB63D4" w:rsidR="00B20DB0" w:rsidRDefault="00B20DB0">
      <w:pPr>
        <w:tabs>
          <w:tab w:val="left" w:pos="851"/>
        </w:tabs>
        <w:spacing w:after="0" w:line="100" w:lineRule="atLeast"/>
        <w:jc w:val="both"/>
        <w:rPr>
          <w:rFonts w:ascii="Times New Roman" w:hAnsi="Times New Roman"/>
          <w:b/>
          <w:sz w:val="24"/>
          <w:u w:val="single"/>
          <w:shd w:val="clear" w:color="auto" w:fill="FFFF00"/>
          <w:lang w:val="en-US"/>
        </w:rPr>
      </w:pPr>
      <w:r w:rsidRPr="00CB3AE7">
        <w:rPr>
          <w:rFonts w:ascii="Times New Roman" w:hAnsi="Times New Roman"/>
          <w:b/>
          <w:sz w:val="24"/>
          <w:u w:val="single"/>
          <w:shd w:val="clear" w:color="auto" w:fill="FFFF00"/>
          <w:lang w:val="en-US"/>
        </w:rPr>
        <w:t>B. Individual support</w:t>
      </w:r>
    </w:p>
    <w:p w14:paraId="14C174E4" w14:textId="77777777" w:rsidR="00EC03F7" w:rsidRPr="0018773E" w:rsidRDefault="00EC03F7">
      <w:pPr>
        <w:tabs>
          <w:tab w:val="left" w:pos="851"/>
        </w:tabs>
        <w:spacing w:after="0" w:line="100" w:lineRule="atLeast"/>
        <w:jc w:val="both"/>
        <w:rPr>
          <w:rFonts w:ascii="Times New Roman" w:hAnsi="Times New Roman"/>
          <w:b/>
          <w:sz w:val="24"/>
          <w:szCs w:val="24"/>
        </w:rPr>
      </w:pPr>
    </w:p>
    <w:p w14:paraId="56673DC5" w14:textId="44D66550" w:rsidR="0048672D" w:rsidRDefault="00EC03F7" w:rsidP="00EC03F7">
      <w:pPr>
        <w:spacing w:line="100" w:lineRule="atLeast"/>
        <w:ind w:left="567" w:hanging="567"/>
        <w:jc w:val="both"/>
        <w:rPr>
          <w:rFonts w:ascii="Times New Roman" w:hAnsi="Times New Roman"/>
          <w:sz w:val="24"/>
          <w:szCs w:val="24"/>
        </w:rPr>
      </w:pPr>
      <w:r>
        <w:rPr>
          <w:rFonts w:ascii="Times New Roman" w:hAnsi="Times New Roman"/>
          <w:sz w:val="24"/>
          <w:szCs w:val="24"/>
        </w:rPr>
        <w:t xml:space="preserve">(a.1) </w:t>
      </w:r>
      <w:r w:rsidR="0048672D" w:rsidRPr="001F5BC9">
        <w:rPr>
          <w:rFonts w:ascii="Times New Roman" w:hAnsi="Times New Roman"/>
          <w:sz w:val="24"/>
          <w:szCs w:val="24"/>
        </w:rPr>
        <w:t>Calculation of the grant amount</w:t>
      </w:r>
      <w:r w:rsidR="0048672D">
        <w:rPr>
          <w:rFonts w:ascii="Times New Roman" w:hAnsi="Times New Roman"/>
          <w:sz w:val="24"/>
          <w:szCs w:val="24"/>
        </w:rPr>
        <w:t xml:space="preserve"> </w:t>
      </w:r>
      <w:r w:rsidR="0048672D" w:rsidRPr="005716F9">
        <w:rPr>
          <w:rFonts w:ascii="Times New Roman" w:hAnsi="Times New Roman"/>
          <w:sz w:val="24"/>
          <w:szCs w:val="24"/>
        </w:rPr>
        <w:t>for students</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per</w:t>
      </w:r>
      <w:r w:rsidR="0048672D">
        <w:rPr>
          <w:rFonts w:ascii="Times New Roman" w:hAnsi="Times New Roman"/>
          <w:sz w:val="24"/>
          <w:szCs w:val="24"/>
        </w:rPr>
        <w:t xml:space="preserve"> </w:t>
      </w:r>
      <w:r w:rsidR="0048672D" w:rsidRPr="000C246B">
        <w:rPr>
          <w:rFonts w:ascii="Times New Roman" w:hAnsi="Times New Roman"/>
          <w:sz w:val="24"/>
          <w:szCs w:val="24"/>
        </w:rPr>
        <w:t>student</w:t>
      </w:r>
      <w:r>
        <w:rPr>
          <w:rFonts w:ascii="Times New Roman" w:hAnsi="Times New Roman"/>
          <w:sz w:val="24"/>
          <w:szCs w:val="24"/>
        </w:rPr>
        <w:t xml:space="preserve"> </w:t>
      </w:r>
      <w:r w:rsidR="0048672D" w:rsidRPr="001A6DB7">
        <w:rPr>
          <w:rFonts w:ascii="Times New Roman" w:hAnsi="Times New Roman"/>
          <w:sz w:val="24"/>
          <w:szCs w:val="24"/>
        </w:rPr>
        <w:t xml:space="preserve">by the unit contribution applicable per day/month for the receiving country concerned as specified in Annex IV of the Agreement. </w:t>
      </w:r>
    </w:p>
    <w:p w14:paraId="51B9A45A" w14:textId="072B5A94" w:rsidR="0048672D" w:rsidRPr="001A6DB7" w:rsidRDefault="0048672D" w:rsidP="0048672D">
      <w:pPr>
        <w:spacing w:line="100" w:lineRule="atLeast"/>
        <w:ind w:left="567"/>
        <w:jc w:val="both"/>
        <w:rPr>
          <w:rFonts w:ascii="Times New Roman" w:hAnsi="Times New Roman"/>
          <w:sz w:val="24"/>
          <w:szCs w:val="24"/>
        </w:rPr>
      </w:pPr>
      <w:r w:rsidRPr="003B2C00">
        <w:rPr>
          <w:rFonts w:ascii="Times New Roman" w:hAnsi="Times New Roman"/>
          <w:sz w:val="24"/>
          <w:szCs w:val="24"/>
        </w:rPr>
        <w:t xml:space="preserve">In the case of incomplete months for long-term mobilities, the grant amount is </w:t>
      </w:r>
      <w:bookmarkStart w:id="0" w:name="_GoBack"/>
      <w:bookmarkEnd w:id="0"/>
      <w:r w:rsidRPr="003B2C00">
        <w:rPr>
          <w:rFonts w:ascii="Times New Roman" w:hAnsi="Times New Roman"/>
          <w:sz w:val="24"/>
          <w:szCs w:val="24"/>
        </w:rPr>
        <w:t>calculated by multiplying the number of days in the incomplete month by 1/30 of the unit contribution per month.</w:t>
      </w:r>
    </w:p>
    <w:p w14:paraId="71E23A35" w14:textId="67FDB351" w:rsidR="00BB6CD5" w:rsidRPr="007603F6" w:rsidRDefault="00B20DB0" w:rsidP="00BB6CD5">
      <w:pPr>
        <w:ind w:left="567"/>
        <w:jc w:val="both"/>
        <w:rPr>
          <w:rFonts w:ascii="Times New Roman" w:hAnsi="Times New Roman"/>
          <w:color w:val="FF0000"/>
          <w:sz w:val="24"/>
        </w:rPr>
      </w:pPr>
      <w:r>
        <w:rPr>
          <w:rFonts w:ascii="Times New Roman" w:hAnsi="Times New Roman"/>
          <w:sz w:val="24"/>
          <w:szCs w:val="24"/>
        </w:rPr>
        <w:t>[</w:t>
      </w:r>
      <w:r w:rsidR="00BB6CD5" w:rsidRPr="004739F9">
        <w:rPr>
          <w:rFonts w:ascii="Times New Roman" w:hAnsi="Times New Roman"/>
          <w:sz w:val="24"/>
          <w:highlight w:val="lightGray"/>
          <w:shd w:val="clear" w:color="auto" w:fill="00FFFF"/>
        </w:rPr>
        <w:t xml:space="preserve">NA </w:t>
      </w:r>
      <w:r w:rsidR="00BB6CD5">
        <w:rPr>
          <w:rFonts w:ascii="Times New Roman" w:hAnsi="Times New Roman"/>
          <w:sz w:val="24"/>
          <w:highlight w:val="lightGray"/>
          <w:shd w:val="clear" w:color="auto" w:fill="00FFFF"/>
        </w:rPr>
        <w:t xml:space="preserve">to include this </w:t>
      </w:r>
      <w:r w:rsidR="00BB6CD5" w:rsidRPr="004739F9">
        <w:rPr>
          <w:rFonts w:ascii="Times New Roman" w:hAnsi="Times New Roman"/>
          <w:sz w:val="24"/>
          <w:highlight w:val="lightGray"/>
          <w:shd w:val="clear" w:color="auto" w:fill="00FFFF"/>
        </w:rPr>
        <w:t xml:space="preserve">clause </w:t>
      </w:r>
      <w:r w:rsidR="00BB6CD5">
        <w:rPr>
          <w:rFonts w:ascii="Times New Roman" w:hAnsi="Times New Roman"/>
          <w:sz w:val="24"/>
          <w:highlight w:val="lightGray"/>
          <w:shd w:val="clear" w:color="auto" w:fill="00FFFF"/>
        </w:rPr>
        <w:t xml:space="preserve">if there is an opt-in for the </w:t>
      </w:r>
      <w:r w:rsidR="00BB6CD5" w:rsidRPr="004739F9">
        <w:rPr>
          <w:rFonts w:ascii="Times New Roman" w:hAnsi="Times New Roman"/>
          <w:sz w:val="24"/>
          <w:highlight w:val="lightGray"/>
          <w:shd w:val="clear" w:color="auto" w:fill="00FFFF"/>
        </w:rPr>
        <w:t>provis</w:t>
      </w:r>
      <w:r w:rsidR="00BB6CD5">
        <w:rPr>
          <w:rFonts w:ascii="Times New Roman" w:hAnsi="Times New Roman"/>
          <w:sz w:val="24"/>
          <w:highlight w:val="lightGray"/>
          <w:shd w:val="clear" w:color="auto" w:fill="00FFFF"/>
        </w:rPr>
        <w:t xml:space="preserve">ion of </w:t>
      </w:r>
      <w:r w:rsidR="00BB6CD5" w:rsidRPr="004739F9">
        <w:rPr>
          <w:rFonts w:ascii="Times New Roman" w:hAnsi="Times New Roman"/>
          <w:sz w:val="24"/>
          <w:highlight w:val="lightGray"/>
          <w:shd w:val="clear" w:color="auto" w:fill="00FFFF"/>
        </w:rPr>
        <w:t>top-up</w:t>
      </w:r>
      <w:r w:rsidR="00BB6CD5">
        <w:rPr>
          <w:rFonts w:ascii="Times New Roman" w:hAnsi="Times New Roman"/>
          <w:sz w:val="24"/>
          <w:highlight w:val="lightGray"/>
          <w:shd w:val="clear" w:color="auto" w:fill="00FFFF"/>
        </w:rPr>
        <w:t>s</w:t>
      </w:r>
      <w:r w:rsidR="00BB6CD5" w:rsidRPr="004739F9">
        <w:rPr>
          <w:rFonts w:ascii="Times New Roman" w:hAnsi="Times New Roman"/>
          <w:sz w:val="24"/>
          <w:highlight w:val="lightGray"/>
          <w:shd w:val="clear" w:color="auto" w:fill="00FFFF"/>
        </w:rPr>
        <w:t xml:space="preserve"> </w:t>
      </w:r>
      <w:r w:rsidR="00BB6CD5">
        <w:rPr>
          <w:rFonts w:ascii="Times New Roman" w:hAnsi="Times New Roman"/>
          <w:sz w:val="24"/>
          <w:highlight w:val="lightGray"/>
          <w:shd w:val="clear" w:color="auto" w:fill="00FFFF"/>
        </w:rPr>
        <w:t xml:space="preserve">for students </w:t>
      </w:r>
      <w:r w:rsidR="00BB6CD5" w:rsidRPr="004739F9">
        <w:rPr>
          <w:rFonts w:ascii="Times New Roman" w:hAnsi="Times New Roman"/>
          <w:sz w:val="24"/>
          <w:highlight w:val="lightGray"/>
          <w:shd w:val="clear" w:color="auto" w:fill="00FFFF"/>
        </w:rPr>
        <w:t>from disadvantaged backgroun</w:t>
      </w:r>
      <w:r w:rsidR="00BB6CD5">
        <w:rPr>
          <w:rFonts w:ascii="Times New Roman" w:hAnsi="Times New Roman"/>
          <w:sz w:val="24"/>
          <w:highlight w:val="lightGray"/>
          <w:shd w:val="clear" w:color="auto" w:fill="00FFFF"/>
        </w:rPr>
        <w:t>ds</w:t>
      </w:r>
      <w:r w:rsidR="00BB6CD5">
        <w:rPr>
          <w:rFonts w:ascii="Times New Roman" w:hAnsi="Times New Roman"/>
          <w:sz w:val="24"/>
          <w:szCs w:val="24"/>
        </w:rPr>
        <w:t xml:space="preserve">: </w:t>
      </w:r>
      <w:r w:rsidR="00BB6CD5" w:rsidRPr="004739F9">
        <w:rPr>
          <w:rFonts w:ascii="Times New Roman" w:hAnsi="Times New Roman"/>
          <w:sz w:val="24"/>
        </w:rPr>
        <w:t xml:space="preserve">Students from a disadvantaged background participating in mobility for studies </w:t>
      </w:r>
      <w:r w:rsidR="00BB6CD5">
        <w:rPr>
          <w:rFonts w:ascii="Times New Roman" w:hAnsi="Times New Roman"/>
          <w:sz w:val="24"/>
          <w:szCs w:val="24"/>
        </w:rPr>
        <w:t>and/or for traineeships</w:t>
      </w:r>
      <w:r w:rsidR="00BB6CD5" w:rsidRPr="004739F9">
        <w:rPr>
          <w:rFonts w:ascii="Times New Roman" w:hAnsi="Times New Roman"/>
          <w:sz w:val="24"/>
        </w:rPr>
        <w:t xml:space="preserve"> must receive a top-up for individual support when they fulfil the eligibility criteria set at national level as specified </w:t>
      </w:r>
      <w:r w:rsidR="00BB6CD5" w:rsidRPr="004739F9">
        <w:rPr>
          <w:rFonts w:ascii="Times New Roman" w:hAnsi="Times New Roman"/>
          <w:sz w:val="24"/>
          <w:highlight w:val="lightGray"/>
          <w:shd w:val="clear" w:color="auto" w:fill="C0C0C0"/>
        </w:rPr>
        <w:t>[NA to complete link to website specifying national criteria</w:t>
      </w:r>
      <w:r w:rsidR="00BB6CD5">
        <w:rPr>
          <w:rFonts w:ascii="Times New Roman" w:hAnsi="Times New Roman"/>
          <w:sz w:val="24"/>
          <w:szCs w:val="24"/>
          <w:shd w:val="clear" w:color="auto" w:fill="C0C0C0"/>
        </w:rPr>
        <w:t>:</w:t>
      </w:r>
      <w:r w:rsidR="00BB6CD5">
        <w:rPr>
          <w:rFonts w:ascii="Times New Roman" w:hAnsi="Times New Roman"/>
          <w:sz w:val="24"/>
          <w:szCs w:val="24"/>
        </w:rPr>
        <w:t>].</w:t>
      </w:r>
      <w:r w:rsidR="00BB6CD5" w:rsidRPr="007603F6">
        <w:rPr>
          <w:rFonts w:ascii="Times New Roman" w:hAnsi="Times New Roman"/>
          <w:sz w:val="24"/>
        </w:rPr>
        <w:t xml:space="preserve">Once the participants have been selected and in order to allocate this top-up, the Beneficiary may (a) use available individual support funds for cooperation with that country, (b) do a budget transfer according to article I.3.3 or (c) submit a </w:t>
      </w:r>
      <w:r w:rsidR="00BB6CD5" w:rsidRPr="007603F6">
        <w:rPr>
          <w:rFonts w:ascii="Times New Roman" w:hAnsi="Times New Roman"/>
          <w:sz w:val="24"/>
        </w:rPr>
        <w:lastRenderedPageBreak/>
        <w:t xml:space="preserve">funding request to the NA to receive additional funds for cooperation with that Partner Country according to section V of the present annex on grant modifications.  This top up is not applicable to students with special needs who will receive additional support according to section “II.2. Calculation of actual cost”. </w:t>
      </w:r>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137E9A11" w:rsidR="00B20DB0" w:rsidRDefault="00B20DB0" w:rsidP="00BE2A05">
      <w:pPr>
        <w:numPr>
          <w:ilvl w:val="0"/>
          <w:numId w:val="108"/>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13055A63" w14:textId="64CD2EE4" w:rsidR="00B20DB0" w:rsidRDefault="00EC03F7" w:rsidP="00EC03F7">
      <w:pPr>
        <w:spacing w:after="0" w:line="100" w:lineRule="atLeast"/>
        <w:ind w:left="709"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(a.2) </w:t>
      </w:r>
      <w:r w:rsidR="00382C7D">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0D6FEE2C" w:rsidR="00B20DB0" w:rsidRDefault="00B20DB0" w:rsidP="00EC03F7">
      <w:pPr>
        <w:spacing w:after="240" w:line="100" w:lineRule="atLeast"/>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p>
    <w:p w14:paraId="2C5D9145" w14:textId="77777777" w:rsidR="00B20DB0" w:rsidRDefault="00603998" w:rsidP="00EC03F7">
      <w:pPr>
        <w:tabs>
          <w:tab w:val="left" w:pos="851"/>
        </w:tabs>
        <w:ind w:left="567" w:firstLine="142"/>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8C2637">
      <w:pPr>
        <w:numPr>
          <w:ilvl w:val="0"/>
          <w:numId w:val="11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E33F0A">
      <w:pPr>
        <w:numPr>
          <w:ilvl w:val="1"/>
          <w:numId w:val="11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8C2637">
      <w:pPr>
        <w:pStyle w:val="ListParagraph"/>
        <w:numPr>
          <w:ilvl w:val="0"/>
          <w:numId w:val="116"/>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77777777" w:rsidR="00603998" w:rsidRPr="001A0CB9" w:rsidRDefault="00603998" w:rsidP="008C2637">
      <w:pPr>
        <w:numPr>
          <w:ilvl w:val="0"/>
          <w:numId w:val="116"/>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27B8FEE9" w:rsidR="00B20DB0" w:rsidRPr="00603998" w:rsidRDefault="00603998" w:rsidP="00E33F0A">
      <w:pPr>
        <w:numPr>
          <w:ilvl w:val="1"/>
          <w:numId w:val="11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41A9DB70" w:rsidR="00B20DB0" w:rsidRDefault="00EC03F7" w:rsidP="00EC03F7">
      <w:p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569B2ACA" w:rsidR="00B20DB0" w:rsidRPr="00B578BC" w:rsidRDefault="00EC03F7" w:rsidP="00EC03F7">
      <w:pPr>
        <w:spacing w:after="240" w:line="100" w:lineRule="atLeast"/>
        <w:ind w:left="567" w:hanging="567"/>
        <w:jc w:val="both"/>
        <w:rPr>
          <w:rFonts w:ascii="Times New Roman" w:hAnsi="Times New Roman"/>
          <w:color w:val="000000"/>
          <w:sz w:val="24"/>
          <w:szCs w:val="24"/>
          <w:shd w:val="clear" w:color="auto" w:fill="00FFFF"/>
        </w:rPr>
      </w:pPr>
      <w:r>
        <w:rPr>
          <w:rFonts w:ascii="Times New Roman" w:hAnsi="Times New Roman"/>
          <w:color w:val="000000"/>
          <w:sz w:val="24"/>
          <w:szCs w:val="24"/>
        </w:rPr>
        <w:t xml:space="preserve">(c.1) </w:t>
      </w:r>
      <w:r w:rsidR="00B20DB0" w:rsidRPr="00B578BC">
        <w:rPr>
          <w:rFonts w:ascii="Times New Roman" w:hAnsi="Times New Roman"/>
          <w:color w:val="000000"/>
          <w:sz w:val="24"/>
          <w:szCs w:val="24"/>
        </w:rPr>
        <w:t xml:space="preserve">Supporting documents </w:t>
      </w:r>
      <w:r>
        <w:rPr>
          <w:rFonts w:ascii="Times New Roman" w:hAnsi="Times New Roman"/>
          <w:sz w:val="24"/>
          <w:szCs w:val="24"/>
        </w:rPr>
        <w:t>for staff</w:t>
      </w:r>
      <w:r w:rsidR="00B20DB0" w:rsidRPr="0047668B">
        <w:rPr>
          <w:rFonts w:ascii="Times New Roman" w:hAnsi="Times New Roman"/>
          <w:sz w:val="24"/>
          <w:szCs w:val="24"/>
        </w:rPr>
        <w:t>:</w:t>
      </w:r>
      <w:r w:rsidR="00B20DB0"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3D530328" w14:textId="4D6D04A0" w:rsidR="00B20DB0" w:rsidRDefault="003F7C20" w:rsidP="00EC03F7">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(c</w:t>
      </w:r>
      <w:r w:rsidR="00EC03F7">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4A2024">
      <w:pPr>
        <w:pStyle w:val="ListParagraph"/>
        <w:numPr>
          <w:ilvl w:val="0"/>
          <w:numId w:val="64"/>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in the following format:</w:t>
      </w:r>
    </w:p>
    <w:p w14:paraId="552386B3" w14:textId="77777777" w:rsidR="00B20DB0" w:rsidRDefault="00B20DB0">
      <w:pPr>
        <w:pStyle w:val="ListParagraph"/>
        <w:ind w:left="1440"/>
        <w:jc w:val="both"/>
        <w:rPr>
          <w:rFonts w:ascii="Times New Roman" w:hAnsi="Times New Roman"/>
          <w:sz w:val="24"/>
          <w:szCs w:val="24"/>
        </w:rPr>
      </w:pPr>
    </w:p>
    <w:p w14:paraId="4EF351E0" w14:textId="77777777" w:rsidR="00B20DB0" w:rsidRDefault="00B20DB0" w:rsidP="004C0037">
      <w:pPr>
        <w:numPr>
          <w:ilvl w:val="0"/>
          <w:numId w:val="84"/>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252F366C" w:rsidR="00B20DB0" w:rsidRDefault="00B20DB0" w:rsidP="004C0037">
      <w:pPr>
        <w:numPr>
          <w:ilvl w:val="0"/>
          <w:numId w:val="84"/>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2D1CF401" w:rsidR="00B20DB0" w:rsidRDefault="00EC03F7" w:rsidP="004A2024">
      <w:pPr>
        <w:ind w:left="567" w:hanging="425"/>
        <w:jc w:val="both"/>
        <w:rPr>
          <w:rFonts w:ascii="Times New Roman" w:hAnsi="Times New Roman"/>
          <w:sz w:val="24"/>
          <w:szCs w:val="24"/>
        </w:rPr>
      </w:pPr>
      <w:r>
        <w:rPr>
          <w:rFonts w:ascii="Times New Roman" w:hAnsi="Times New Roman"/>
          <w:sz w:val="24"/>
          <w:szCs w:val="24"/>
          <w:lang w:val="nb-NO"/>
        </w:rPr>
        <w:t xml:space="preserve"> </w:t>
      </w:r>
      <w:r w:rsidR="00B20DB0">
        <w:rPr>
          <w:rFonts w:ascii="Times New Roman" w:hAnsi="Times New Roman"/>
          <w:sz w:val="24"/>
          <w:szCs w:val="24"/>
          <w:lang w:val="nb-NO"/>
        </w:rPr>
        <w:t xml:space="preserve">(d)    Reporting: </w:t>
      </w:r>
    </w:p>
    <w:p w14:paraId="6C804A6E" w14:textId="41C32E47"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sidRPr="00B578BC">
        <w:rPr>
          <w:rFonts w:ascii="Times New Roman" w:hAnsi="Times New Roman"/>
          <w:sz w:val="24"/>
          <w:szCs w:val="24"/>
        </w:rPr>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6753BA82" w14:textId="4BF31014" w:rsidR="00B20DB0" w:rsidRPr="008510F0" w:rsidRDefault="00B20DB0" w:rsidP="004C0037">
      <w:pPr>
        <w:pStyle w:val="ListParagraph"/>
        <w:numPr>
          <w:ilvl w:val="0"/>
          <w:numId w:val="9"/>
        </w:numPr>
        <w:spacing w:after="200" w:line="276" w:lineRule="auto"/>
        <w:ind w:hanging="436"/>
        <w:jc w:val="both"/>
        <w:rPr>
          <w:rFonts w:ascii="Times New Roman" w:hAnsi="Times New Roman"/>
          <w:b/>
          <w:sz w:val="24"/>
          <w:szCs w:val="24"/>
          <w:shd w:val="clear" w:color="auto" w:fill="00FFFF"/>
        </w:rPr>
      </w:pPr>
      <w:r w:rsidRPr="00257574">
        <w:rPr>
          <w:rFonts w:ascii="Times New Roman" w:hAnsi="Times New Roman"/>
          <w:sz w:val="24"/>
        </w:rPr>
        <w:t>Calculation of the grant amount: the grant amount is calculated by multiplying the</w:t>
      </w:r>
      <w:r>
        <w:rPr>
          <w:rFonts w:ascii="Times New Roman" w:hAnsi="Times New Roman"/>
          <w:sz w:val="24"/>
        </w:rPr>
        <w:t xml:space="preserv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w:t>
      </w:r>
      <w:r>
        <w:rPr>
          <w:rFonts w:ascii="Times New Roman" w:hAnsi="Times New Roman"/>
          <w:sz w:val="24"/>
          <w:szCs w:val="24"/>
        </w:rPr>
        <w:t xml:space="preserve">The total number of participations considered for the calculation of organisational support includes the number of students and staff undertaking inbound and outbound mobility registered in Annex II. </w:t>
      </w:r>
      <w:r>
        <w:rPr>
          <w:rFonts w:ascii="Times New Roman" w:hAnsi="Times New Roman"/>
          <w:sz w:val="24"/>
        </w:rPr>
        <w:t>The beneficiary may request additional organisational support to the NA for participants with a zero-grant from Erasmus+ EU funds.</w:t>
      </w:r>
      <w:r>
        <w:rPr>
          <w:rFonts w:ascii="Times New Roman" w:hAnsi="Times New Roman"/>
          <w:sz w:val="24"/>
          <w:szCs w:val="24"/>
        </w:rPr>
        <w:t xml:space="preserve"> The total number of persons considered for organisational support excludes persons accompanying participants at their activity and </w:t>
      </w:r>
      <w:r w:rsidR="009A434F" w:rsidRPr="008510F0">
        <w:rPr>
          <w:rFonts w:ascii="Times New Roman" w:hAnsi="Times New Roman"/>
          <w:sz w:val="24"/>
          <w:szCs w:val="24"/>
        </w:rPr>
        <w:t xml:space="preserve">additional </w:t>
      </w:r>
      <w:r w:rsidRPr="008510F0">
        <w:rPr>
          <w:rFonts w:ascii="Times New Roman" w:eastAsia="Calibri" w:hAnsi="Times New Roman" w:cs="Times New Roman"/>
          <w:sz w:val="24"/>
          <w:szCs w:val="24"/>
        </w:rPr>
        <w:t>mobilities that may be organised by transferring funds</w:t>
      </w:r>
      <w:r w:rsidR="009A434F" w:rsidRPr="008510F0">
        <w:rPr>
          <w:rFonts w:ascii="Times New Roman" w:eastAsia="Calibri" w:hAnsi="Times New Roman" w:cs="Times New Roman"/>
          <w:sz w:val="24"/>
          <w:szCs w:val="24"/>
        </w:rPr>
        <w:t xml:space="preserve"> </w:t>
      </w:r>
      <w:r w:rsidR="009A434F" w:rsidRPr="008510F0">
        <w:rPr>
          <w:rFonts w:ascii="Times New Roman" w:hAnsi="Times New Roman"/>
          <w:sz w:val="24"/>
          <w:szCs w:val="24"/>
        </w:rPr>
        <w:t>between budget categories</w:t>
      </w:r>
      <w:r w:rsidRPr="008510F0">
        <w:rPr>
          <w:rFonts w:ascii="Times New Roman" w:eastAsia="Calibri" w:hAnsi="Times New Roman" w:cs="Times New Roman"/>
          <w:sz w:val="24"/>
          <w:szCs w:val="24"/>
        </w:rPr>
        <w:t>.</w:t>
      </w:r>
    </w:p>
    <w:p w14:paraId="7DC83750" w14:textId="69A2843E" w:rsidR="00B20DB0" w:rsidRDefault="00B20DB0" w:rsidP="004C0037">
      <w:pPr>
        <w:numPr>
          <w:ilvl w:val="0"/>
          <w:numId w:val="9"/>
        </w:numPr>
        <w:spacing w:line="100" w:lineRule="atLeast"/>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w:t>
      </w:r>
    </w:p>
    <w:p w14:paraId="43A40498" w14:textId="09564E7D" w:rsidR="00B20DB0" w:rsidRDefault="00B20DB0" w:rsidP="004C0037">
      <w:pPr>
        <w:numPr>
          <w:ilvl w:val="0"/>
          <w:numId w:val="9"/>
        </w:numPr>
        <w:spacing w:line="100" w:lineRule="atLeast"/>
        <w:ind w:hanging="436"/>
        <w:jc w:val="both"/>
        <w:rPr>
          <w:rFonts w:ascii="Times New Roman" w:hAnsi="Times New Roman"/>
          <w:sz w:val="24"/>
          <w:szCs w:val="24"/>
        </w:rPr>
      </w:pPr>
      <w:r>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EC03F7">
        <w:rPr>
          <w:rFonts w:ascii="Times New Roman" w:hAnsi="Times New Roman"/>
          <w:color w:val="000000"/>
          <w:sz w:val="24"/>
          <w:szCs w:val="24"/>
        </w:rPr>
        <w:t>.</w:t>
      </w:r>
    </w:p>
    <w:p w14:paraId="4DA12A0F" w14:textId="17E52625"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676D11">
      <w:pPr>
        <w:numPr>
          <w:ilvl w:val="0"/>
          <w:numId w:val="12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0AF09F66" w:rsidR="00B20DB0" w:rsidRDefault="00B20DB0" w:rsidP="0077498C">
      <w:pPr>
        <w:numPr>
          <w:ilvl w:val="0"/>
          <w:numId w:val="12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65B16309" w14:textId="77777777" w:rsidR="00EC03F7" w:rsidRDefault="00EC03F7">
      <w:pPr>
        <w:jc w:val="both"/>
        <w:rPr>
          <w:rFonts w:ascii="Times New Roman" w:hAnsi="Times New Roman"/>
          <w:b/>
          <w:sz w:val="24"/>
          <w:szCs w:val="24"/>
        </w:rPr>
      </w:pPr>
    </w:p>
    <w:p w14:paraId="48FCF068" w14:textId="4CB5635A"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A628D">
      <w:pPr>
        <w:numPr>
          <w:ilvl w:val="0"/>
          <w:numId w:val="32"/>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0A628D">
      <w:pPr>
        <w:numPr>
          <w:ilvl w:val="0"/>
          <w:numId w:val="33"/>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0AF4F18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w:t>
      </w:r>
      <w:r w:rsidR="00B20DB0" w:rsidRPr="00B578BC">
        <w:rPr>
          <w:rFonts w:ascii="Times New Roman" w:hAnsi="Times New Roman"/>
          <w:sz w:val="24"/>
          <w:szCs w:val="24"/>
        </w:rPr>
        <w:t>up to</w:t>
      </w:r>
      <w:r w:rsidR="00EC03F7">
        <w:rPr>
          <w:rFonts w:ascii="Times New Roman" w:hAnsi="Times New Roman"/>
          <w:sz w:val="24"/>
          <w:szCs w:val="24"/>
        </w:rPr>
        <w:t xml:space="preserve"> </w:t>
      </w:r>
      <w:r w:rsidR="00B20DB0">
        <w:rPr>
          <w:rFonts w:ascii="Times New Roman" w:hAnsi="Times New Roman"/>
          <w:sz w:val="24"/>
          <w:szCs w:val="24"/>
        </w:rPr>
        <w:t xml:space="preserve">100% of the eligible costs actually incurred. </w:t>
      </w:r>
    </w:p>
    <w:p w14:paraId="247C99BF" w14:textId="739BB74F"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646A69F3" w:rsidR="00A72817" w:rsidRPr="001A6C54" w:rsidRDefault="002575FF" w:rsidP="008C2637">
      <w:pPr>
        <w:pStyle w:val="ListParagraph"/>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EC03F7">
        <w:rPr>
          <w:rFonts w:ascii="Times New Roman" w:hAnsi="Times New Roman"/>
          <w:sz w:val="24"/>
          <w:szCs w:val="24"/>
        </w:rPr>
        <w:t>ding to article I.3.3.</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42A0D8F4" w:rsidR="00B20DB0" w:rsidRDefault="00B20DB0" w:rsidP="00520B75">
      <w:pPr>
        <w:pStyle w:val="ListParagraph"/>
        <w:numPr>
          <w:ilvl w:val="0"/>
          <w:numId w:val="39"/>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was used for any of the participants with special needs.</w:t>
      </w:r>
    </w:p>
    <w:p w14:paraId="4B9647E8" w14:textId="77777777" w:rsidR="00B20DB0" w:rsidRDefault="00B20DB0" w:rsidP="000A628D">
      <w:pPr>
        <w:pStyle w:val="ListParagraph"/>
        <w:numPr>
          <w:ilvl w:val="0"/>
          <w:numId w:val="39"/>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76E01AD6" w14:textId="77777777" w:rsidR="00B20DB0" w:rsidRPr="005056BD" w:rsidRDefault="00B20DB0" w:rsidP="000A628D">
      <w:pPr>
        <w:tabs>
          <w:tab w:val="left" w:pos="426"/>
        </w:tabs>
        <w:ind w:left="426" w:hanging="426"/>
        <w:jc w:val="both"/>
        <w:rPr>
          <w:b/>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 xml:space="preserve">Exceptional costs </w:t>
      </w:r>
    </w:p>
    <w:p w14:paraId="0E72811A" w14:textId="77777777" w:rsidR="00B20DB0" w:rsidRDefault="00B20DB0" w:rsidP="000A628D">
      <w:pPr>
        <w:tabs>
          <w:tab w:val="left" w:pos="709"/>
        </w:tabs>
        <w:ind w:left="709" w:hanging="284"/>
        <w:jc w:val="both"/>
        <w:rPr>
          <w:rFonts w:ascii="Times New Roman" w:hAnsi="Times New Roman"/>
          <w:sz w:val="24"/>
          <w:szCs w:val="24"/>
        </w:rPr>
      </w:pPr>
      <w:r>
        <w:rPr>
          <w:rFonts w:ascii="Times New Roman" w:hAnsi="Times New Roman"/>
          <w:sz w:val="24"/>
          <w:szCs w:val="24"/>
        </w:rPr>
        <w:t xml:space="preserve">a) Calculation of the grant amount: the grant is a reimbursement of 75% of the eligible costs actually incurred (for the financial guarantee). </w:t>
      </w:r>
    </w:p>
    <w:p w14:paraId="59CF7193" w14:textId="77777777" w:rsidR="00B20DB0" w:rsidRDefault="00B20DB0" w:rsidP="000A628D">
      <w:pPr>
        <w:tabs>
          <w:tab w:val="left" w:pos="709"/>
        </w:tabs>
        <w:ind w:left="709" w:hanging="284"/>
        <w:jc w:val="both"/>
      </w:pPr>
      <w:r>
        <w:rPr>
          <w:rFonts w:ascii="Times New Roman" w:hAnsi="Times New Roman"/>
          <w:sz w:val="24"/>
          <w:szCs w:val="24"/>
        </w:rPr>
        <w:t xml:space="preserve">b) Eligible costs: costs relating to a pre-financing guarantee lodged by the beneficiary where such guarantee is required by the NA, as specified in Article I.4.2 of the Agreement.  </w:t>
      </w:r>
    </w:p>
    <w:p w14:paraId="0644F7E9" w14:textId="45282722" w:rsidR="00B20DB0" w:rsidRDefault="00B20DB0" w:rsidP="000A628D">
      <w:pPr>
        <w:tabs>
          <w:tab w:val="left" w:pos="709"/>
        </w:tabs>
        <w:ind w:left="709" w:hanging="284"/>
        <w:jc w:val="both"/>
        <w:rPr>
          <w:rFonts w:ascii="Times New Roman" w:eastAsia="Times New Roman" w:hAnsi="Times New Roman"/>
          <w:b/>
          <w:sz w:val="24"/>
          <w:szCs w:val="24"/>
          <w:shd w:val="clear" w:color="auto" w:fill="00FFFF"/>
        </w:rPr>
      </w:pPr>
      <w:r>
        <w:rPr>
          <w:rFonts w:ascii="Times New Roman" w:hAnsi="Times New Roman"/>
          <w:sz w:val="24"/>
          <w:szCs w:val="24"/>
        </w:rPr>
        <w:t xml:space="preserve">c) Supporting documents: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3986F1CB" w14:textId="6400A2F6" w:rsidR="005F605C" w:rsidRPr="0083055A" w:rsidRDefault="00EC03F7" w:rsidP="00EC03F7">
      <w:pPr>
        <w:tabs>
          <w:tab w:val="left" w:pos="709"/>
        </w:tabs>
        <w:spacing w:line="100" w:lineRule="atLeast"/>
        <w:ind w:left="709" w:hanging="283"/>
        <w:jc w:val="both"/>
      </w:pPr>
      <w:r>
        <w:rPr>
          <w:rFonts w:ascii="Times New Roman" w:hAnsi="Times New Roman"/>
          <w:sz w:val="24"/>
          <w:szCs w:val="24"/>
        </w:rPr>
        <w:t>d)</w:t>
      </w:r>
      <w:r>
        <w:rPr>
          <w:rFonts w:ascii="Times New Roman" w:hAnsi="Times New Roman"/>
          <w:sz w:val="24"/>
          <w:szCs w:val="24"/>
        </w:rPr>
        <w:tab/>
      </w:r>
      <w:r w:rsidR="005F605C">
        <w:rPr>
          <w:rFonts w:ascii="Times New Roman" w:hAnsi="Times New Roman"/>
          <w:sz w:val="24"/>
          <w:szCs w:val="24"/>
        </w:rPr>
        <w:t>Reporting:</w:t>
      </w:r>
      <w:r>
        <w:rPr>
          <w:rFonts w:ascii="Times New Roman" w:hAnsi="Times New Roman"/>
          <w:sz w:val="24"/>
          <w:szCs w:val="24"/>
        </w:rPr>
        <w:t xml:space="preserve"> </w:t>
      </w:r>
      <w:r w:rsidR="005F605C" w:rsidRPr="00EC03F7">
        <w:rPr>
          <w:rFonts w:ascii="Times New Roman" w:hAnsi="Times New Roman"/>
          <w:sz w:val="24"/>
          <w:szCs w:val="24"/>
        </w:rPr>
        <w:t>The beneficiary must report in Mobility Tool+ the amount of exceptional costs actually incurr</w:t>
      </w:r>
      <w:r w:rsidRPr="00EC03F7">
        <w:rPr>
          <w:rFonts w:ascii="Times New Roman" w:hAnsi="Times New Roman"/>
          <w:sz w:val="24"/>
          <w:szCs w:val="24"/>
        </w:rPr>
        <w:t>ed for the financial guarantee.</w:t>
      </w:r>
    </w:p>
    <w:p w14:paraId="023521CF" w14:textId="77777777" w:rsidR="00B20DB0" w:rsidRDefault="00B20DB0" w:rsidP="00F24E02">
      <w:pPr>
        <w:ind w:left="1134"/>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83055A">
      <w:pPr>
        <w:numPr>
          <w:ilvl w:val="0"/>
          <w:numId w:val="51"/>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604941">
      <w:pPr>
        <w:numPr>
          <w:ilvl w:val="0"/>
          <w:numId w:val="110"/>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5D21846C" w:rsidR="00B20DB0" w:rsidRDefault="00B20DB0" w:rsidP="00604941">
      <w:pPr>
        <w:numPr>
          <w:ilvl w:val="0"/>
          <w:numId w:val="110"/>
        </w:numPr>
        <w:jc w:val="both"/>
        <w:rPr>
          <w:rFonts w:ascii="Times New Roman" w:hAnsi="Times New Roman"/>
          <w:sz w:val="24"/>
          <w:szCs w:val="24"/>
        </w:rPr>
      </w:pPr>
      <w:r>
        <w:rPr>
          <w:rFonts w:ascii="Times New Roman" w:hAnsi="Times New Roman"/>
          <w:sz w:val="24"/>
          <w:szCs w:val="24"/>
        </w:rPr>
        <w:t xml:space="preserve">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Pr="00B578BC">
        <w:rPr>
          <w:rFonts w:ascii="Times New Roman" w:hAnsi="Times New Roman"/>
          <w:sz w:val="24"/>
          <w:szCs w:val="24"/>
        </w:rPr>
        <w:t>recommend to the European Commission to withdraw the Erasmus Charter for Higher Education of the beneficiary.</w:t>
      </w:r>
    </w:p>
    <w:p w14:paraId="4B3B4B87" w14:textId="77777777" w:rsidR="00B20DB0" w:rsidRDefault="00B20DB0" w:rsidP="00604941">
      <w:pPr>
        <w:numPr>
          <w:ilvl w:val="0"/>
          <w:numId w:val="110"/>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77F7B222" w14:textId="71A1F557" w:rsidR="00B20DB0" w:rsidRDefault="003625B0">
      <w:pPr>
        <w:ind w:left="720"/>
        <w:jc w:val="both"/>
      </w:pPr>
      <w:r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45046A73" w:rsidR="00B20DB0" w:rsidRDefault="00B20DB0" w:rsidP="004A577C">
      <w:pPr>
        <w:numPr>
          <w:ilvl w:val="1"/>
          <w:numId w:val="119"/>
        </w:numPr>
        <w:jc w:val="both"/>
      </w:pPr>
      <w:r>
        <w:rPr>
          <w:rFonts w:ascii="Times New Roman" w:hAnsi="Times New Roman"/>
          <w:sz w:val="24"/>
          <w:szCs w:val="24"/>
        </w:rPr>
        <w:t xml:space="preserve">The extent to which the action 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7DB0D8C3" w14:textId="58C52980" w:rsidR="00B20DB0" w:rsidRDefault="00B20DB0" w:rsidP="004A577C">
      <w:pPr>
        <w:numPr>
          <w:ilvl w:val="1"/>
          <w:numId w:val="119"/>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sidR="00EC03F7">
        <w:rPr>
          <w:rFonts w:ascii="Times New Roman" w:hAnsi="Times New Roman"/>
          <w:sz w:val="24"/>
          <w:szCs w:val="24"/>
        </w:rPr>
        <w:t xml:space="preserve"> </w:t>
      </w:r>
      <w:r w:rsidRPr="00B578BC">
        <w:rPr>
          <w:rFonts w:ascii="Times New Roman" w:hAnsi="Times New Roman"/>
          <w:sz w:val="24"/>
          <w:szCs w:val="24"/>
        </w:rPr>
        <w:t>and in the applicable inter-institutional agreement(s)</w:t>
      </w:r>
      <w:r>
        <w:rPr>
          <w:rFonts w:ascii="Times New Roman" w:hAnsi="Times New Roman"/>
          <w:sz w:val="24"/>
          <w:szCs w:val="24"/>
        </w:rPr>
        <w:t>.</w:t>
      </w:r>
    </w:p>
    <w:p w14:paraId="0478A4E8" w14:textId="55082BA8" w:rsidR="00B20DB0" w:rsidRDefault="00B20DB0" w:rsidP="004A577C">
      <w:pPr>
        <w:numPr>
          <w:ilvl w:val="1"/>
          <w:numId w:val="11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5A6C734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 xml:space="preserve">A grant reduction based on poor, partial or late implementation may be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EC03F7">
      <w:pPr>
        <w:numPr>
          <w:ilvl w:val="1"/>
          <w:numId w:val="123"/>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EC03F7">
      <w:pPr>
        <w:numPr>
          <w:ilvl w:val="1"/>
          <w:numId w:val="123"/>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4F61B9FF" w:rsidR="00B20DB0" w:rsidRPr="00EC03F7" w:rsidRDefault="00B20DB0" w:rsidP="00EC03F7">
      <w:pPr>
        <w:numPr>
          <w:ilvl w:val="1"/>
          <w:numId w:val="123"/>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32939B6" w14:textId="77777777" w:rsidR="00EC03F7" w:rsidRDefault="00EC03F7" w:rsidP="00EC03F7">
      <w:pPr>
        <w:tabs>
          <w:tab w:val="left" w:pos="1418"/>
        </w:tabs>
        <w:spacing w:after="0"/>
        <w:ind w:left="1434"/>
        <w:jc w:val="both"/>
        <w:rPr>
          <w:rFonts w:ascii="Times New Roman" w:hAnsi="Times New Roman"/>
          <w:b/>
          <w:sz w:val="24"/>
          <w:szCs w:val="24"/>
          <w:shd w:val="clear" w:color="auto" w:fill="00FFFF"/>
        </w:rPr>
      </w:pP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1E22A7AE"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7A9343C9" w14:textId="77777777" w:rsidR="00B20DB0" w:rsidRDefault="00B20DB0" w:rsidP="00C03034">
      <w:pPr>
        <w:widowControl w:val="0"/>
        <w:spacing w:after="0" w:line="273" w:lineRule="auto"/>
        <w:ind w:left="709" w:hanging="709"/>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redistribution of funds or additional funds being available</w:t>
      </w:r>
    </w:p>
    <w:p w14:paraId="7E9C65F5" w14:textId="77777777" w:rsidR="00B20DB0" w:rsidRDefault="00B20DB0">
      <w:pPr>
        <w:widowControl w:val="0"/>
        <w:spacing w:after="0" w:line="273" w:lineRule="auto"/>
        <w:jc w:val="both"/>
      </w:pPr>
    </w:p>
    <w:p w14:paraId="51007697" w14:textId="77777777"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In the framework of redistribution of funds or in the event of additional funds becoming available to the NA for (re)allocation to beneficiary institutions, the total maximum grant amount indicated in Article I.3.1 may be increased in accordance with the following conditions:</w:t>
      </w:r>
    </w:p>
    <w:p w14:paraId="19D2722C" w14:textId="77777777" w:rsidR="00B20DB0" w:rsidRDefault="00B20DB0">
      <w:pPr>
        <w:widowControl w:val="0"/>
        <w:spacing w:after="0" w:line="273" w:lineRule="auto"/>
        <w:jc w:val="both"/>
        <w:rPr>
          <w:rFonts w:ascii="Times New Roman" w:hAnsi="Times New Roman"/>
          <w:sz w:val="24"/>
          <w:szCs w:val="24"/>
        </w:rPr>
      </w:pPr>
    </w:p>
    <w:p w14:paraId="3972CA5E" w14:textId="77777777" w:rsidR="00B20DB0" w:rsidRDefault="00B20DB0">
      <w:pPr>
        <w:widowControl w:val="0"/>
        <w:numPr>
          <w:ilvl w:val="0"/>
          <w:numId w:val="54"/>
        </w:numPr>
        <w:spacing w:after="0" w:line="273" w:lineRule="auto"/>
        <w:ind w:left="1080" w:firstLine="0"/>
        <w:jc w:val="both"/>
      </w:pPr>
      <w:r>
        <w:rPr>
          <w:rFonts w:ascii="Times New Roman" w:hAnsi="Times New Roman"/>
          <w:sz w:val="24"/>
          <w:szCs w:val="24"/>
        </w:rPr>
        <w:t>The beneficiary has not been awarded the full grant requested under the main selection round due to the high demand and limited budget;</w:t>
      </w:r>
    </w:p>
    <w:p w14:paraId="03CA3D76" w14:textId="77777777" w:rsidR="00B20DB0" w:rsidRDefault="00B20DB0">
      <w:pPr>
        <w:widowControl w:val="0"/>
        <w:spacing w:after="0" w:line="273" w:lineRule="auto"/>
        <w:ind w:left="1080"/>
        <w:jc w:val="both"/>
        <w:rPr>
          <w:rFonts w:ascii="Times New Roman" w:hAnsi="Times New Roman"/>
          <w:sz w:val="24"/>
          <w:szCs w:val="24"/>
        </w:rPr>
      </w:pPr>
    </w:p>
    <w:p w14:paraId="00A48C05" w14:textId="77777777" w:rsidR="00B20DB0" w:rsidRDefault="00B20DB0">
      <w:pPr>
        <w:widowControl w:val="0"/>
        <w:numPr>
          <w:ilvl w:val="0"/>
          <w:numId w:val="54"/>
        </w:numPr>
        <w:spacing w:after="0" w:line="273" w:lineRule="auto"/>
        <w:ind w:left="1080" w:firstLine="0"/>
        <w:jc w:val="both"/>
        <w:rPr>
          <w:rFonts w:ascii="Times New Roman" w:hAnsi="Times New Roman"/>
          <w:sz w:val="24"/>
          <w:szCs w:val="24"/>
        </w:rPr>
      </w:pPr>
      <w:r>
        <w:rPr>
          <w:rFonts w:ascii="Times New Roman" w:hAnsi="Times New Roman"/>
          <w:sz w:val="24"/>
          <w:szCs w:val="24"/>
        </w:rPr>
        <w:t>Mobilities with that Partner Country  had already been requested in the application and had passed the initial quality assessment</w:t>
      </w:r>
    </w:p>
    <w:p w14:paraId="439C5F7A" w14:textId="77777777" w:rsidR="00B20DB0" w:rsidRDefault="00B20DB0">
      <w:pPr>
        <w:widowControl w:val="0"/>
        <w:spacing w:after="0" w:line="273" w:lineRule="auto"/>
        <w:ind w:left="1080"/>
        <w:jc w:val="both"/>
        <w:rPr>
          <w:rFonts w:ascii="Times New Roman" w:hAnsi="Times New Roman"/>
          <w:sz w:val="24"/>
          <w:szCs w:val="24"/>
        </w:rPr>
      </w:pPr>
    </w:p>
    <w:p w14:paraId="6107A5FC" w14:textId="77777777" w:rsidR="00B20DB0" w:rsidRDefault="00B20DB0">
      <w:pPr>
        <w:widowControl w:val="0"/>
        <w:numPr>
          <w:ilvl w:val="0"/>
          <w:numId w:val="55"/>
        </w:numPr>
        <w:spacing w:after="0" w:line="273" w:lineRule="auto"/>
        <w:ind w:left="1080" w:firstLine="0"/>
        <w:jc w:val="both"/>
        <w:rPr>
          <w:rFonts w:ascii="Times New Roman" w:hAnsi="Times New Roman"/>
          <w:sz w:val="24"/>
          <w:szCs w:val="24"/>
        </w:rPr>
      </w:pPr>
      <w:r>
        <w:rPr>
          <w:rFonts w:ascii="Times New Roman" w:hAnsi="Times New Roman"/>
          <w:sz w:val="24"/>
          <w:szCs w:val="24"/>
        </w:rPr>
        <w:t xml:space="preserve">On the basis of the information in the ad hoc interim report and data registered in Mobility Tool+, the realisation level of mobilities granted initially is in line with the Grant Agreement. </w:t>
      </w:r>
    </w:p>
    <w:p w14:paraId="7D77919B" w14:textId="77777777" w:rsidR="00B20DB0" w:rsidRDefault="00B20DB0">
      <w:pPr>
        <w:widowControl w:val="0"/>
        <w:spacing w:after="0" w:line="273" w:lineRule="auto"/>
        <w:ind w:left="1080"/>
        <w:jc w:val="both"/>
        <w:rPr>
          <w:rFonts w:ascii="Times New Roman" w:hAnsi="Times New Roman"/>
          <w:sz w:val="24"/>
          <w:szCs w:val="24"/>
        </w:rPr>
      </w:pPr>
    </w:p>
    <w:p w14:paraId="6F19D813" w14:textId="1DECC01D" w:rsidR="000B385A" w:rsidRPr="006E022E" w:rsidRDefault="000B385A" w:rsidP="000B385A">
      <w:pPr>
        <w:widowControl w:val="0"/>
        <w:numPr>
          <w:ilvl w:val="0"/>
          <w:numId w:val="53"/>
        </w:numPr>
        <w:spacing w:after="0" w:line="273" w:lineRule="auto"/>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sidR="00051C41">
        <w:rPr>
          <w:rFonts w:ascii="Times New Roman" w:hAnsi="Times New Roman"/>
          <w:sz w:val="24"/>
          <w:szCs w:val="24"/>
        </w:rPr>
        <w:t xml:space="preserve"> may be decreased </w:t>
      </w:r>
      <w:r w:rsidR="00901C92">
        <w:rPr>
          <w:rFonts w:ascii="Times New Roman" w:hAnsi="Times New Roman"/>
          <w:sz w:val="24"/>
          <w:szCs w:val="24"/>
        </w:rPr>
        <w:t xml:space="preserve">exceptionally </w:t>
      </w:r>
      <w:r w:rsidR="00051C41">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sidR="00901C92">
        <w:rPr>
          <w:rFonts w:ascii="Times New Roman" w:hAnsi="Times New Roman"/>
          <w:sz w:val="24"/>
          <w:szCs w:val="24"/>
        </w:rPr>
        <w:t xml:space="preserve"> </w:t>
      </w:r>
      <w:r w:rsidR="00821EBD">
        <w:rPr>
          <w:rFonts w:ascii="Times New Roman" w:hAnsi="Times New Roman"/>
          <w:sz w:val="24"/>
          <w:szCs w:val="24"/>
        </w:rPr>
        <w:t>The beneficiary will have 30 days to submit his/her comments.</w:t>
      </w:r>
    </w:p>
    <w:p w14:paraId="4D8338FA" w14:textId="77777777" w:rsidR="000B385A" w:rsidRPr="000B385A" w:rsidRDefault="000B385A" w:rsidP="006E022E">
      <w:pPr>
        <w:widowControl w:val="0"/>
        <w:spacing w:after="0" w:line="273" w:lineRule="auto"/>
        <w:ind w:left="360"/>
        <w:jc w:val="both"/>
        <w:rPr>
          <w:rFonts w:ascii="Times New Roman" w:hAnsi="Times New Roman"/>
          <w:sz w:val="24"/>
          <w:szCs w:val="24"/>
          <w:highlight w:val="lightGray"/>
        </w:rPr>
      </w:pPr>
    </w:p>
    <w:p w14:paraId="3E2DB433" w14:textId="77777777" w:rsidR="00B20DB0" w:rsidRDefault="00B20DB0">
      <w:pPr>
        <w:widowControl w:val="0"/>
        <w:numPr>
          <w:ilvl w:val="0"/>
          <w:numId w:val="53"/>
        </w:numPr>
        <w:spacing w:after="0" w:line="273" w:lineRule="auto"/>
        <w:jc w:val="both"/>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The grant amount requested refers to the overall grant requested in the entire application, irrespective of the specific amounts requested per budget envelope. </w:t>
      </w:r>
    </w:p>
    <w:p w14:paraId="7A66D926" w14:textId="77777777" w:rsidR="00B20DB0" w:rsidRDefault="00B20DB0">
      <w:pPr>
        <w:widowControl w:val="0"/>
        <w:spacing w:after="0" w:line="273" w:lineRule="auto"/>
        <w:ind w:left="720"/>
        <w:jc w:val="both"/>
        <w:rPr>
          <w:rFonts w:ascii="Times New Roman" w:hAnsi="Times New Roman"/>
          <w:sz w:val="24"/>
          <w:szCs w:val="24"/>
        </w:rPr>
      </w:pPr>
    </w:p>
    <w:p w14:paraId="56A571BA" w14:textId="42B2A4C1" w:rsidR="00B20DB0" w:rsidRDefault="00B20DB0">
      <w:pPr>
        <w:widowControl w:val="0"/>
        <w:numPr>
          <w:ilvl w:val="0"/>
          <w:numId w:val="53"/>
        </w:numPr>
        <w:spacing w:after="0" w:line="273" w:lineRule="auto"/>
        <w:jc w:val="both"/>
        <w:rPr>
          <w:rFonts w:ascii="Times New Roman" w:hAnsi="Times New Roman"/>
          <w:sz w:val="24"/>
          <w:szCs w:val="24"/>
        </w:rPr>
      </w:pPr>
      <w:r>
        <w:rPr>
          <w:rFonts w:ascii="Times New Roman" w:hAnsi="Times New Roman"/>
          <w:sz w:val="24"/>
          <w:szCs w:val="24"/>
        </w:rPr>
        <w:t>The final grant amount awarded in international credit mobility could exceptionally exceed the requested amount when the additional funds are requested to support participants with special needs</w:t>
      </w:r>
      <w:r w:rsidR="00B432E3">
        <w:rPr>
          <w:rFonts w:ascii="Times New Roman" w:hAnsi="Times New Roman"/>
          <w:sz w:val="24"/>
          <w:szCs w:val="24"/>
        </w:rPr>
        <w:t xml:space="preserve"> [NA to include this clause if there is an opt-in for the provision of top-ups for students from disadvantaged backgrounds].</w:t>
      </w:r>
    </w:p>
    <w:p w14:paraId="2408CE34" w14:textId="77777777" w:rsidR="00B20DB0" w:rsidRDefault="00B20DB0">
      <w:pPr>
        <w:widowControl w:val="0"/>
        <w:spacing w:after="0" w:line="273" w:lineRule="auto"/>
        <w:ind w:left="720"/>
        <w:jc w:val="both"/>
        <w:rPr>
          <w:rFonts w:ascii="Times New Roman" w:hAnsi="Times New Roman"/>
          <w:sz w:val="24"/>
          <w:szCs w:val="24"/>
        </w:rPr>
      </w:pPr>
    </w:p>
    <w:p w14:paraId="00DB6E5F" w14:textId="13099FBE" w:rsidR="00B20DB0" w:rsidRDefault="00B20DB0">
      <w:pPr>
        <w:widowControl w:val="0"/>
        <w:spacing w:after="0" w:line="273" w:lineRule="auto"/>
        <w:jc w:val="both"/>
      </w:pPr>
      <w:r w:rsidRPr="00DD4C0F">
        <w:rPr>
          <w:rFonts w:ascii="Times New Roman" w:hAnsi="Times New Roman"/>
          <w:sz w:val="24"/>
          <w:szCs w:val="24"/>
        </w:rPr>
        <w:t>(b)</w:t>
      </w:r>
      <w:r w:rsidRPr="00DD4C0F">
        <w:rPr>
          <w:rFonts w:ascii="Times New Roman" w:hAnsi="Times New Roman"/>
          <w:sz w:val="24"/>
          <w:szCs w:val="24"/>
        </w:rPr>
        <w:tab/>
      </w:r>
      <w:r>
        <w:rPr>
          <w:rFonts w:ascii="Times New Roman" w:hAnsi="Times New Roman"/>
          <w:sz w:val="24"/>
          <w:szCs w:val="24"/>
          <w:u w:val="single"/>
        </w:rPr>
        <w:t>Grant increase for special needs</w:t>
      </w:r>
      <w:r w:rsidR="00B432E3">
        <w:rPr>
          <w:rFonts w:ascii="Times New Roman" w:hAnsi="Times New Roman"/>
          <w:sz w:val="24"/>
          <w:szCs w:val="24"/>
          <w:u w:val="single"/>
        </w:rPr>
        <w:t xml:space="preserve"> [or disadvantaged background top-ups]</w:t>
      </w:r>
    </w:p>
    <w:p w14:paraId="7D25DEF1" w14:textId="77777777" w:rsidR="00B20DB0" w:rsidRDefault="00B20DB0">
      <w:pPr>
        <w:widowControl w:val="0"/>
        <w:spacing w:after="0" w:line="273" w:lineRule="auto"/>
        <w:jc w:val="both"/>
        <w:rPr>
          <w:rFonts w:ascii="Times New Roman" w:hAnsi="Times New Roman"/>
          <w:sz w:val="24"/>
          <w:szCs w:val="24"/>
        </w:rPr>
      </w:pPr>
    </w:p>
    <w:p w14:paraId="30E6B8BE" w14:textId="18BC0BDC" w:rsidR="00B20DB0" w:rsidRDefault="00B20DB0">
      <w:pPr>
        <w:numPr>
          <w:ilvl w:val="0"/>
          <w:numId w:val="53"/>
        </w:numPr>
        <w:jc w:val="both"/>
      </w:pPr>
      <w:r>
        <w:rPr>
          <w:rFonts w:ascii="Times New Roman" w:hAnsi="Times New Roman"/>
          <w:sz w:val="24"/>
          <w:szCs w:val="24"/>
        </w:rPr>
        <w:t xml:space="preserve">As there is no provision for requesting special needs support </w:t>
      </w:r>
      <w:r w:rsidR="006C6809">
        <w:rPr>
          <w:rFonts w:ascii="Times New Roman" w:hAnsi="Times New Roman"/>
          <w:sz w:val="24"/>
          <w:szCs w:val="24"/>
        </w:rPr>
        <w:t>[</w:t>
      </w:r>
      <w:r w:rsidR="00B432E3">
        <w:rPr>
          <w:rFonts w:ascii="Times New Roman" w:hAnsi="Times New Roman"/>
          <w:sz w:val="24"/>
          <w:szCs w:val="24"/>
        </w:rPr>
        <w:t>or disadvantaged background top-ups</w:t>
      </w:r>
      <w:r w:rsidR="006C6809">
        <w:rPr>
          <w:rFonts w:ascii="Times New Roman" w:hAnsi="Times New Roman"/>
          <w:sz w:val="24"/>
          <w:szCs w:val="24"/>
        </w:rPr>
        <w:t>]</w:t>
      </w:r>
      <w:r w:rsidR="00B432E3">
        <w:rPr>
          <w:rFonts w:ascii="Times New Roman" w:hAnsi="Times New Roman"/>
          <w:sz w:val="24"/>
          <w:szCs w:val="24"/>
        </w:rPr>
        <w:t xml:space="preserve"> </w:t>
      </w:r>
      <w:r>
        <w:rPr>
          <w:rFonts w:ascii="Times New Roman" w:hAnsi="Times New Roman"/>
          <w:sz w:val="24"/>
          <w:szCs w:val="24"/>
        </w:rPr>
        <w:t xml:space="preserve">at application stage in the field of higher education, the beneficiary may apply for additional grant support once the participants have been selected. Such support may be provided by the NA for participants whose individual physical, mental or health-related situation is such that his/her participation in the mobility activity would not be possible without extra financial support. </w:t>
      </w:r>
    </w:p>
    <w:p w14:paraId="1E4A1356" w14:textId="3E8913A9" w:rsidR="00B20DB0" w:rsidRDefault="00B20DB0">
      <w:pPr>
        <w:widowControl w:val="0"/>
        <w:numPr>
          <w:ilvl w:val="0"/>
          <w:numId w:val="53"/>
        </w:numPr>
        <w:spacing w:after="0" w:line="273" w:lineRule="auto"/>
        <w:jc w:val="both"/>
      </w:pPr>
      <w:r>
        <w:rPr>
          <w:rFonts w:ascii="Times New Roman" w:hAnsi="Times New Roman"/>
          <w:sz w:val="24"/>
          <w:szCs w:val="24"/>
        </w:rPr>
        <w:t>The final grant amount awarded in international credit mobility could exceptionally exceed the requested amount when these additional funds are requested to support participants with special needs</w:t>
      </w:r>
      <w:r w:rsidR="00B432E3">
        <w:rPr>
          <w:rFonts w:ascii="Times New Roman" w:hAnsi="Times New Roman"/>
          <w:sz w:val="24"/>
          <w:szCs w:val="24"/>
        </w:rPr>
        <w:t xml:space="preserve"> [or students</w:t>
      </w:r>
      <w:r w:rsidR="00EC03F7">
        <w:rPr>
          <w:rFonts w:ascii="Times New Roman" w:hAnsi="Times New Roman"/>
          <w:sz w:val="24"/>
          <w:szCs w:val="24"/>
        </w:rPr>
        <w:t xml:space="preserve"> from disadvantaged backgrounds</w:t>
      </w:r>
      <w:r>
        <w:rPr>
          <w:rFonts w:ascii="Times New Roman" w:hAnsi="Times New Roman"/>
          <w:sz w:val="24"/>
          <w:szCs w:val="24"/>
        </w:rPr>
        <w:t>.</w:t>
      </w:r>
    </w:p>
    <w:p w14:paraId="1AD49A91" w14:textId="77777777" w:rsidR="00B20DB0" w:rsidRDefault="00B20DB0">
      <w:pPr>
        <w:jc w:val="both"/>
      </w:pPr>
      <w:r>
        <w:rPr>
          <w:rFonts w:ascii="Times New Roman" w:hAnsi="Times New Roman"/>
          <w:sz w:val="24"/>
          <w:szCs w:val="24"/>
        </w:rPr>
        <w:t xml:space="preserve"> </w:t>
      </w:r>
    </w:p>
    <w:p w14:paraId="693A7BB9" w14:textId="31F91908" w:rsidR="00B20DB0" w:rsidRDefault="00B20DB0">
      <w:pPr>
        <w:jc w:val="both"/>
      </w:pPr>
      <w:r w:rsidRPr="00DD4C0F">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03A95A40" w14:textId="2EF23C26" w:rsidR="00B20DB0" w:rsidRDefault="00B20DB0" w:rsidP="00A809FD">
      <w:pPr>
        <w:numPr>
          <w:ilvl w:val="0"/>
          <w:numId w:val="53"/>
        </w:numPr>
        <w:spacing w:after="0"/>
        <w:jc w:val="both"/>
        <w:rPr>
          <w:rFonts w:ascii="Times New Roman" w:eastAsia="SimSun" w:hAnsi="Times New Roman"/>
          <w:b/>
          <w:kern w:val="1"/>
          <w:sz w:val="24"/>
          <w:szCs w:val="24"/>
        </w:rPr>
      </w:pPr>
      <w:r>
        <w:rPr>
          <w:rFonts w:ascii="Times New Roman" w:hAnsi="Times New Roman"/>
          <w:sz w:val="24"/>
          <w:szCs w:val="24"/>
        </w:rPr>
        <w:t xml:space="preserve">In accordance with Article II.13 </w:t>
      </w:r>
      <w:r w:rsidR="00A432D5">
        <w:rPr>
          <w:rFonts w:ascii="Times New Roman" w:hAnsi="Times New Roman"/>
          <w:sz w:val="24"/>
          <w:szCs w:val="24"/>
        </w:rPr>
        <w:t xml:space="preserve">of Annex I </w:t>
      </w:r>
      <w:r>
        <w:rPr>
          <w:rFonts w:ascii="Times New Roman" w:hAnsi="Times New Roman"/>
          <w:sz w:val="24"/>
          <w:szCs w:val="24"/>
        </w:rPr>
        <w:t>of the</w:t>
      </w:r>
      <w:r w:rsidDel="00E42EF0">
        <w:rPr>
          <w:rFonts w:ascii="Times New Roman" w:hAnsi="Times New Roman"/>
          <w:sz w:val="24"/>
          <w:szCs w:val="24"/>
        </w:rPr>
        <w:t xml:space="preserve"> Agreement</w:t>
      </w:r>
      <w:r>
        <w:rPr>
          <w:rFonts w:ascii="Times New Roman" w:hAnsi="Times New Roman"/>
          <w:sz w:val="24"/>
          <w:szCs w:val="24"/>
        </w:rPr>
        <w:t>, any modification of the grant as set out in Sections V (a) and (b)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773CE8F8"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w:t>
      </w:r>
      <w:r w:rsidR="00EC03F7">
        <w:rPr>
          <w:rFonts w:ascii="Times New Roman" w:hAnsi="Times New Roman"/>
          <w:sz w:val="24"/>
          <w:szCs w:val="24"/>
        </w:rPr>
        <w:t xml:space="preserve">, </w:t>
      </w:r>
      <w:r w:rsidRPr="00B578BC">
        <w:rPr>
          <w:rFonts w:ascii="Times New Roman" w:hAnsi="Times New Roman"/>
          <w:sz w:val="24"/>
          <w:szCs w:val="24"/>
        </w:rPr>
        <w:t>including both inbound and outbound mobility</w:t>
      </w:r>
      <w:r>
        <w:rPr>
          <w:rFonts w:ascii="Times New Roman" w:hAnsi="Times New Roman"/>
          <w:sz w:val="24"/>
          <w:szCs w:val="24"/>
        </w:rPr>
        <w: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pPr>
        <w:pStyle w:val="ListParagraph"/>
        <w:numPr>
          <w:ilvl w:val="1"/>
          <w:numId w:val="57"/>
        </w:numPr>
        <w:jc w:val="both"/>
      </w:pPr>
      <w:r>
        <w:rPr>
          <w:rFonts w:ascii="Times New Roman" w:hAnsi="Times New Roman"/>
          <w:kern w:val="1"/>
          <w:sz w:val="24"/>
          <w:szCs w:val="24"/>
        </w:rPr>
        <w:t>Travel</w:t>
      </w:r>
    </w:p>
    <w:p w14:paraId="728AF932" w14:textId="6ADC2A46"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pPr>
        <w:pStyle w:val="ListParagraph"/>
        <w:numPr>
          <w:ilvl w:val="1"/>
          <w:numId w:val="57"/>
        </w:numPr>
        <w:jc w:val="both"/>
      </w:pPr>
      <w:r>
        <w:rPr>
          <w:rFonts w:ascii="Times New Roman" w:hAnsi="Times New Roman"/>
          <w:kern w:val="1"/>
          <w:sz w:val="24"/>
          <w:szCs w:val="24"/>
        </w:rPr>
        <w:t>Organisational support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pPr>
        <w:pStyle w:val="ListParagraph"/>
        <w:numPr>
          <w:ilvl w:val="0"/>
          <w:numId w:val="57"/>
        </w:numPr>
        <w:jc w:val="both"/>
      </w:pPr>
      <w:r>
        <w:rPr>
          <w:rFonts w:ascii="Times New Roman" w:hAnsi="Times New Roman"/>
          <w:kern w:val="1"/>
          <w:sz w:val="24"/>
          <w:szCs w:val="24"/>
        </w:rPr>
        <w:t>Actual costs incurred for budget category:</w:t>
      </w:r>
    </w:p>
    <w:p w14:paraId="7A358585"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pPr>
        <w:pStyle w:val="ListParagraph"/>
        <w:numPr>
          <w:ilvl w:val="0"/>
          <w:numId w:val="57"/>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pPr>
        <w:pStyle w:val="ListParagraph"/>
        <w:numPr>
          <w:ilvl w:val="1"/>
          <w:numId w:val="57"/>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pPr>
        <w:pStyle w:val="ListParagraph"/>
        <w:numPr>
          <w:ilvl w:val="0"/>
          <w:numId w:val="58"/>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during project implementation</w:t>
      </w:r>
    </w:p>
    <w:p w14:paraId="0BEC280A" w14:textId="4E87735F"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 </w:t>
      </w:r>
      <w:r w:rsidRPr="00B578BC">
        <w:rPr>
          <w:rFonts w:ascii="Times New Roman" w:eastAsia="SimSun" w:hAnsi="Times New Roman"/>
          <w:kern w:val="1"/>
          <w:sz w:val="24"/>
          <w:szCs w:val="24"/>
        </w:rPr>
        <w:t>and to establish compliance with the commitments undertaken as a result of the inter-institutional agreement (s);</w:t>
      </w:r>
    </w:p>
    <w:p w14:paraId="7DC8B3D6" w14:textId="77777777" w:rsidR="00B20DB0" w:rsidRDefault="00B20DB0" w:rsidP="00CC3FD0">
      <w:pPr>
        <w:numPr>
          <w:ilvl w:val="0"/>
          <w:numId w:val="97"/>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CC3FD0">
      <w:pPr>
        <w:numPr>
          <w:ilvl w:val="0"/>
          <w:numId w:val="97"/>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071E4646" w:rsidR="00844A25" w:rsidRDefault="007748EF" w:rsidP="00CC3FD0">
      <w:pPr>
        <w:ind w:left="426"/>
        <w:jc w:val="both"/>
        <w:rPr>
          <w:rFonts w:ascii="Times New Roman" w:hAnsi="Times New Roman"/>
          <w:sz w:val="24"/>
          <w:szCs w:val="24"/>
        </w:rPr>
      </w:pPr>
      <w:r>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EC03F7">
        <w:rPr>
          <w:rFonts w:ascii="Times New Roman" w:eastAsia="SimSun" w:hAnsi="Times New Roman"/>
          <w:kern w:val="1"/>
          <w:sz w:val="24"/>
          <w:szCs w:val="24"/>
        </w:rPr>
        <w:t xml:space="preserve">, </w:t>
      </w:r>
      <w:r w:rsidR="002038DD" w:rsidRPr="008C6F21">
        <w:rPr>
          <w:rFonts w:ascii="Times New Roman" w:eastAsia="SimSun" w:hAnsi="Times New Roman"/>
          <w:kern w:val="1"/>
          <w:sz w:val="24"/>
          <w:szCs w:val="24"/>
        </w:rPr>
        <w:t>as well as the inter-institutional agreement(s).</w:t>
      </w:r>
      <w:r w:rsidR="002038DD">
        <w:rPr>
          <w:rFonts w:ascii="Times New Roman" w:hAnsi="Times New Roman"/>
          <w:sz w:val="24"/>
          <w:szCs w:val="24"/>
        </w:rPr>
        <w:t xml:space="preserve"> </w:t>
      </w:r>
    </w:p>
    <w:p w14:paraId="75C4165D" w14:textId="57930AC3"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p>
    <w:sectPr w:rsidR="00B20DB0" w:rsidSect="00E66DE7">
      <w:footerReference w:type="default" r:id="rId13"/>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EFC6" w14:textId="77777777" w:rsidR="00CE2004" w:rsidRDefault="00CE2004">
      <w:pPr>
        <w:spacing w:after="0" w:line="240" w:lineRule="auto"/>
      </w:pPr>
      <w:r>
        <w:separator/>
      </w:r>
    </w:p>
  </w:endnote>
  <w:endnote w:type="continuationSeparator" w:id="0">
    <w:p w14:paraId="302E1971" w14:textId="77777777" w:rsidR="00CE2004" w:rsidRDefault="00CE2004">
      <w:pPr>
        <w:spacing w:after="0" w:line="240" w:lineRule="auto"/>
      </w:pPr>
      <w:r>
        <w:continuationSeparator/>
      </w:r>
    </w:p>
  </w:endnote>
  <w:endnote w:type="continuationNotice" w:id="1">
    <w:p w14:paraId="605233CC" w14:textId="77777777" w:rsidR="00CE2004" w:rsidRDefault="00CE2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3104" w14:textId="218273BF" w:rsidR="00EA30CF" w:rsidRDefault="00EA30CF" w:rsidP="00EC03F7">
    <w:pPr>
      <w:pStyle w:val="Footer"/>
      <w:jc w:val="right"/>
    </w:pPr>
    <w:r>
      <w:fldChar w:fldCharType="begin"/>
    </w:r>
    <w:r>
      <w:instrText xml:space="preserve"> PAGE   \* MERGEFORMAT </w:instrText>
    </w:r>
    <w:r>
      <w:fldChar w:fldCharType="separate"/>
    </w:r>
    <w:r w:rsidR="006770C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0217" w14:textId="77777777" w:rsidR="00CE2004" w:rsidRDefault="00CE2004">
      <w:pPr>
        <w:spacing w:after="0" w:line="240" w:lineRule="auto"/>
      </w:pPr>
      <w:r>
        <w:separator/>
      </w:r>
    </w:p>
  </w:footnote>
  <w:footnote w:type="continuationSeparator" w:id="0">
    <w:p w14:paraId="7213C9CB" w14:textId="77777777" w:rsidR="00CE2004" w:rsidRDefault="00CE2004">
      <w:pPr>
        <w:spacing w:after="0" w:line="240" w:lineRule="auto"/>
      </w:pPr>
      <w:r>
        <w:continuationSeparator/>
      </w:r>
    </w:p>
  </w:footnote>
  <w:footnote w:type="continuationNotice" w:id="1">
    <w:p w14:paraId="0C713283" w14:textId="77777777" w:rsidR="00CE2004" w:rsidRDefault="00CE20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53806"/>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770C3"/>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3F7"/>
    <w:rsid w:val="00EC0E4F"/>
    <w:rsid w:val="00EC0E9E"/>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68D77DA-6AD9-4A67-80F9-6739CCA0BC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8F11F1F-62B5-492F-B75F-42B3A9E8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3826</Words>
  <Characters>20360</Characters>
  <Application>Microsoft Office Word</Application>
  <DocSecurity>0</DocSecurity>
  <Lines>424</Lines>
  <Paragraphs>173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24013</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PANAGOPOULOS Konstantinos (EAC)</cp:lastModifiedBy>
  <cp:revision>4</cp:revision>
  <cp:lastPrinted>2019-12-10T09:09:00Z</cp:lastPrinted>
  <dcterms:created xsi:type="dcterms:W3CDTF">2020-02-06T10:16:00Z</dcterms:created>
  <dcterms:modified xsi:type="dcterms:W3CDTF">2020-02-11T15:22:00Z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