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4D54B" w14:textId="77777777" w:rsidR="006E4AF7" w:rsidRPr="002267EE" w:rsidRDefault="006E4AF7" w:rsidP="006E4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 IV: </w:t>
      </w:r>
      <w:r w:rsidRPr="00C52A80">
        <w:rPr>
          <w:rFonts w:ascii="Times New Roman" w:hAnsi="Times New Roman" w:cs="Times New Roman"/>
          <w:b/>
          <w:sz w:val="24"/>
          <w:szCs w:val="24"/>
        </w:rPr>
        <w:t>RATES APPLICABLE FOR UNIT CONTRIBUTIONS</w:t>
      </w:r>
    </w:p>
    <w:p w14:paraId="4C0CE1B5" w14:textId="77777777" w:rsidR="0072048B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36"/>
          <w:szCs w:val="36"/>
          <w:u w:val="single"/>
        </w:rPr>
      </w:pPr>
    </w:p>
    <w:p w14:paraId="24CA501E" w14:textId="793D6695" w:rsidR="002A3D8D" w:rsidRPr="004F7DD0" w:rsidRDefault="008E179D" w:rsidP="004F7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D0">
        <w:rPr>
          <w:rFonts w:ascii="Times New Roman" w:hAnsi="Times New Roman" w:cs="Times New Roman"/>
          <w:b/>
          <w:smallCaps/>
          <w:sz w:val="24"/>
          <w:szCs w:val="24"/>
        </w:rPr>
        <w:t>Key Action 1 – Learning Mobility</w:t>
      </w:r>
      <w:r w:rsidR="004F7DD0">
        <w:rPr>
          <w:rFonts w:ascii="Times New Roman" w:hAnsi="Times New Roman" w:cs="Times New Roman"/>
          <w:b/>
          <w:smallCaps/>
          <w:sz w:val="24"/>
          <w:szCs w:val="24"/>
        </w:rPr>
        <w:t xml:space="preserve"> - </w:t>
      </w:r>
      <w:r w:rsidRPr="004F7DD0">
        <w:rPr>
          <w:rFonts w:ascii="Times New Roman" w:hAnsi="Times New Roman" w:cs="Times New Roman"/>
          <w:b/>
          <w:sz w:val="24"/>
          <w:szCs w:val="24"/>
        </w:rPr>
        <w:t>HIGHER EDUCATION (HE)</w:t>
      </w:r>
    </w:p>
    <w:p w14:paraId="4C0CE1B9" w14:textId="77777777" w:rsidR="00A91261" w:rsidRPr="007802D8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3196B2" w14:textId="33A81EC9" w:rsidR="00523CFE" w:rsidRPr="002D2A5F" w:rsidRDefault="00C6134E" w:rsidP="002D2A5F">
      <w:pPr>
        <w:tabs>
          <w:tab w:val="left" w:pos="851"/>
        </w:tabs>
        <w:suppressAutoHyphens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D2A5F">
        <w:rPr>
          <w:rFonts w:ascii="Times New Roman" w:hAnsi="Times New Roman" w:cs="Times New Roman"/>
          <w:b/>
          <w:sz w:val="24"/>
          <w:szCs w:val="24"/>
        </w:rPr>
        <w:t>1. Travel</w:t>
      </w:r>
      <w:r w:rsidR="00523CFE" w:rsidRPr="002D2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BA7">
        <w:rPr>
          <w:rFonts w:ascii="Times New Roman" w:hAnsi="Times New Roman" w:cs="Times New Roman"/>
          <w:b/>
          <w:sz w:val="24"/>
          <w:szCs w:val="24"/>
        </w:rPr>
        <w:t xml:space="preserve">support </w:t>
      </w:r>
      <w:r w:rsidR="00523CFE" w:rsidRPr="002D2A5F">
        <w:rPr>
          <w:rFonts w:ascii="Times New Roman" w:hAnsi="Times New Roman" w:cs="Times New Roman"/>
          <w:b/>
          <w:sz w:val="24"/>
          <w:szCs w:val="24"/>
        </w:rPr>
        <w:t>-</w:t>
      </w:r>
      <w:r w:rsidR="00523CFE" w:rsidRPr="002D2A5F">
        <w:rPr>
          <w:rFonts w:ascii="Times New Roman" w:hAnsi="Times New Roman"/>
          <w:b/>
          <w:sz w:val="24"/>
          <w:szCs w:val="24"/>
          <w:lang w:val="en-US"/>
        </w:rPr>
        <w:t xml:space="preserve"> Contribution to the travel costs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22"/>
        <w:gridCol w:w="3021"/>
        <w:gridCol w:w="3019"/>
      </w:tblGrid>
      <w:tr w:rsidR="0004022B" w:rsidRPr="000501A2" w14:paraId="4C0CE1C2" w14:textId="00478201" w:rsidTr="0004022B"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AE12322" w14:textId="2B4C0E9C" w:rsidR="002A3D8D" w:rsidRDefault="002A3D8D" w:rsidP="004F7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KA131: </w:t>
            </w:r>
            <w:r w:rsidR="009723B4" w:rsidRPr="00F77B31">
              <w:rPr>
                <w:rFonts w:ascii="Times New Roman" w:hAnsi="Times New Roman"/>
                <w:sz w:val="24"/>
                <w:szCs w:val="24"/>
              </w:rPr>
              <w:t>HE students</w:t>
            </w:r>
            <w:r w:rsidR="0004022B" w:rsidRPr="00F77B31">
              <w:rPr>
                <w:rFonts w:ascii="Times New Roman" w:hAnsi="Times New Roman"/>
                <w:sz w:val="24"/>
                <w:szCs w:val="24"/>
              </w:rPr>
              <w:t xml:space="preserve"> and recent graduates</w:t>
            </w:r>
            <w:r w:rsidR="009723B4" w:rsidRPr="00F77B31">
              <w:rPr>
                <w:rFonts w:ascii="Times New Roman" w:hAnsi="Times New Roman"/>
                <w:sz w:val="24"/>
                <w:szCs w:val="24"/>
              </w:rPr>
              <w:t xml:space="preserve"> sent by HEIs from outermost </w:t>
            </w:r>
            <w:r w:rsidR="003634CF">
              <w:rPr>
                <w:rFonts w:ascii="Times New Roman" w:hAnsi="Times New Roman"/>
                <w:sz w:val="24"/>
                <w:szCs w:val="24"/>
              </w:rPr>
              <w:t>regions of EU Members States, Cyprus, Iceland, Malta</w:t>
            </w:r>
            <w:r w:rsidR="00AB45F7" w:rsidRPr="00F77B31">
              <w:rPr>
                <w:rFonts w:ascii="Times New Roman" w:hAnsi="Times New Roman"/>
                <w:sz w:val="24"/>
                <w:szCs w:val="24"/>
              </w:rPr>
              <w:t xml:space="preserve"> and Overseas Countries and Territories</w:t>
            </w:r>
            <w:r w:rsidR="003634CF">
              <w:rPr>
                <w:rFonts w:ascii="Times New Roman" w:hAnsi="Times New Roman"/>
                <w:sz w:val="24"/>
                <w:szCs w:val="24"/>
              </w:rPr>
              <w:t xml:space="preserve"> associated to EU Member States and</w:t>
            </w:r>
            <w:r w:rsidR="00B7716A" w:rsidRPr="00F77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8A6" w:rsidRPr="00F77B31">
              <w:rPr>
                <w:rFonts w:ascii="Times New Roman" w:hAnsi="Times New Roman"/>
                <w:sz w:val="24"/>
                <w:szCs w:val="24"/>
              </w:rPr>
              <w:t xml:space="preserve">who are going to </w:t>
            </w:r>
            <w:r w:rsidR="00C82752" w:rsidRPr="004F7DD0">
              <w:rPr>
                <w:rFonts w:ascii="Times New Roman" w:hAnsi="Times New Roman"/>
                <w:sz w:val="24"/>
                <w:szCs w:val="24"/>
              </w:rPr>
              <w:t>EU Member States and third countries associated to the Programme</w:t>
            </w:r>
            <w:r w:rsidR="009C18A6" w:rsidRPr="00F77B31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7F3410">
              <w:rPr>
                <w:rFonts w:ascii="Times New Roman" w:hAnsi="Times New Roman"/>
                <w:sz w:val="24"/>
                <w:szCs w:val="24"/>
              </w:rPr>
              <w:t xml:space="preserve"> to t</w:t>
            </w:r>
            <w:r w:rsidR="00C82752">
              <w:rPr>
                <w:rFonts w:ascii="Times New Roman" w:hAnsi="Times New Roman"/>
                <w:sz w:val="24"/>
                <w:szCs w:val="24"/>
              </w:rPr>
              <w:t>hird countries not associated to the Programme</w:t>
            </w:r>
            <w:r w:rsidR="009C18A6" w:rsidRPr="00F77B31">
              <w:rPr>
                <w:rFonts w:ascii="Times New Roman" w:hAnsi="Times New Roman"/>
                <w:sz w:val="24"/>
                <w:szCs w:val="24"/>
              </w:rPr>
              <w:t xml:space="preserve"> from Region </w:t>
            </w:r>
            <w:r w:rsidR="003D0EF3">
              <w:rPr>
                <w:rFonts w:ascii="Times New Roman" w:hAnsi="Times New Roman"/>
                <w:sz w:val="24"/>
                <w:szCs w:val="24"/>
              </w:rPr>
              <w:t>13</w:t>
            </w:r>
            <w:r w:rsidR="009C18A6" w:rsidRPr="00F77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AE5">
              <w:rPr>
                <w:rFonts w:ascii="Times New Roman" w:hAnsi="Times New Roman"/>
                <w:sz w:val="24"/>
                <w:szCs w:val="24"/>
              </w:rPr>
              <w:t>and</w:t>
            </w:r>
            <w:r w:rsidR="004A7AE5" w:rsidRPr="00F77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8A6" w:rsidRPr="00F77B31">
              <w:rPr>
                <w:rFonts w:ascii="Times New Roman" w:hAnsi="Times New Roman"/>
                <w:sz w:val="24"/>
                <w:szCs w:val="24"/>
              </w:rPr>
              <w:t>14</w:t>
            </w:r>
            <w:r w:rsidR="004D1BA7">
              <w:rPr>
                <w:rFonts w:ascii="Times New Roman" w:hAnsi="Times New Roman"/>
                <w:sz w:val="24"/>
                <w:szCs w:val="24"/>
              </w:rPr>
              <w:t>;</w:t>
            </w:r>
            <w:r w:rsidR="009C18A6" w:rsidRPr="00F77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16A" w:rsidRPr="00F77B31">
              <w:rPr>
                <w:rFonts w:ascii="Times New Roman" w:hAnsi="Times New Roman"/>
                <w:sz w:val="24"/>
                <w:szCs w:val="24"/>
              </w:rPr>
              <w:t xml:space="preserve">students and recent graduates with fewer opportunities on short-term </w:t>
            </w:r>
            <w:r w:rsidR="00B83B91">
              <w:rPr>
                <w:rFonts w:ascii="Times New Roman" w:hAnsi="Times New Roman"/>
                <w:sz w:val="24"/>
                <w:szCs w:val="24"/>
              </w:rPr>
              <w:t xml:space="preserve">physical </w:t>
            </w:r>
            <w:r w:rsidR="00B7716A" w:rsidRPr="00F77B31">
              <w:rPr>
                <w:rFonts w:ascii="Times New Roman" w:hAnsi="Times New Roman"/>
                <w:sz w:val="24"/>
                <w:szCs w:val="24"/>
              </w:rPr>
              <w:t>mobility</w:t>
            </w:r>
            <w:r w:rsidR="004D1BA7">
              <w:rPr>
                <w:rFonts w:ascii="Times New Roman" w:hAnsi="Times New Roman"/>
                <w:sz w:val="24"/>
                <w:szCs w:val="24"/>
              </w:rPr>
              <w:t xml:space="preserve">; and </w:t>
            </w:r>
            <w:r w:rsidR="004A7AE5">
              <w:rPr>
                <w:rFonts w:ascii="Times New Roman" w:hAnsi="Times New Roman"/>
                <w:sz w:val="24"/>
                <w:szCs w:val="24"/>
              </w:rPr>
              <w:t>a</w:t>
            </w:r>
            <w:r w:rsidR="004A7AE5" w:rsidRPr="004A7AE5">
              <w:rPr>
                <w:rFonts w:ascii="Times New Roman" w:hAnsi="Times New Roman"/>
                <w:sz w:val="24"/>
                <w:szCs w:val="24"/>
              </w:rPr>
              <w:t>ll outgoing students and recent graduates in international mobility involving third countries not associated to the Programme, except</w:t>
            </w:r>
            <w:r w:rsidR="004A7AE5">
              <w:rPr>
                <w:rFonts w:ascii="Times New Roman" w:hAnsi="Times New Roman"/>
                <w:sz w:val="24"/>
                <w:szCs w:val="24"/>
              </w:rPr>
              <w:t xml:space="preserve"> Region</w:t>
            </w:r>
            <w:r w:rsidR="004D1BA7">
              <w:rPr>
                <w:rFonts w:ascii="Times New Roman" w:hAnsi="Times New Roman"/>
                <w:sz w:val="24"/>
                <w:szCs w:val="24"/>
              </w:rPr>
              <w:t xml:space="preserve"> 13 and 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494F32" w14:textId="77777777" w:rsidR="002A3D8D" w:rsidRDefault="002A3D8D" w:rsidP="0042169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74610DB1" w14:textId="5481590E" w:rsidR="00C82752" w:rsidRDefault="002A3D8D" w:rsidP="0042169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KA171:</w:t>
            </w:r>
            <w:r w:rsidR="003D0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All </w:t>
            </w:r>
            <w:r w:rsidR="003D0EF3">
              <w:rPr>
                <w:rFonts w:ascii="Times New Roman" w:hAnsi="Times New Roman"/>
                <w:sz w:val="24"/>
                <w:szCs w:val="24"/>
              </w:rPr>
              <w:t>outgoing and incoming students and recent graduates in international mobility involving third countries not associated to the Programme, except Region 13 and 14</w:t>
            </w:r>
            <w:r w:rsidR="00B7716A" w:rsidRPr="00F77B3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F63B702" w14:textId="77777777" w:rsidR="002A3D8D" w:rsidRDefault="002A3D8D" w:rsidP="0042169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C0CE1C0" w14:textId="414AF9E1" w:rsidR="0004022B" w:rsidRPr="000501A2" w:rsidRDefault="0004022B" w:rsidP="0042169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66A36A6" w14:textId="77777777" w:rsidR="004C7EC4" w:rsidRDefault="004C7EC4" w:rsidP="003931B8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4C0CE1C1" w14:textId="07244B52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Standard travel - </w:t>
            </w:r>
            <w:r w:rsidRPr="000501A2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pct10" w:color="auto" w:fill="auto"/>
          </w:tcPr>
          <w:p w14:paraId="34A2BE67" w14:textId="77777777" w:rsidR="004C7EC4" w:rsidRDefault="004C7EC4" w:rsidP="004C7EC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60CAE4F8" w14:textId="77777777" w:rsidR="004C7EC4" w:rsidRDefault="004C7EC4" w:rsidP="004C7EC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5162BB7C" w14:textId="77777777" w:rsidR="004C7EC4" w:rsidRDefault="004C7EC4" w:rsidP="004C7EC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6DFD9098" w14:textId="77777777" w:rsidR="004C7EC4" w:rsidRDefault="004C7EC4" w:rsidP="004C7EC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431E1DCF" w14:textId="77777777" w:rsidR="004C7EC4" w:rsidRDefault="004C7EC4" w:rsidP="004C7EC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10621F92" w14:textId="77777777" w:rsidR="004C7EC4" w:rsidRDefault="004C7EC4" w:rsidP="004C7EC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0B1C4C05" w14:textId="77777777" w:rsidR="004C7EC4" w:rsidRDefault="004C7EC4" w:rsidP="004C7EC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40DBF0D9" w14:textId="77777777" w:rsidR="004C7EC4" w:rsidRDefault="004C7EC4" w:rsidP="004C7EC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125B7AD5" w14:textId="77777777" w:rsidR="004C7EC4" w:rsidRDefault="004C7EC4" w:rsidP="004C7EC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15B2B117" w14:textId="77777777" w:rsidR="004C7EC4" w:rsidRDefault="004C7EC4" w:rsidP="004C7EC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5E1FBD68" w14:textId="77777777" w:rsidR="004C7EC4" w:rsidRDefault="004C7EC4" w:rsidP="004C7EC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07B1DA0F" w14:textId="77777777" w:rsidR="004C7EC4" w:rsidRDefault="004C7EC4" w:rsidP="004C7EC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2531EB80" w14:textId="639BD279" w:rsidR="004C7EC4" w:rsidRDefault="004C7EC4" w:rsidP="004C7EC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6BE64B6A" w14:textId="7C50C0C1" w:rsidR="004F7DD0" w:rsidRDefault="004F7DD0" w:rsidP="004C7EC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40FF96D0" w14:textId="5202F5D8" w:rsidR="004F7DD0" w:rsidRDefault="004F7DD0" w:rsidP="004C7EC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569E3FE7" w14:textId="77777777" w:rsidR="004F7DD0" w:rsidRDefault="004F7DD0" w:rsidP="004F7DD0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47F9BEDA" w14:textId="77777777" w:rsidR="000E6819" w:rsidRDefault="000E6819" w:rsidP="004C7EC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5253217A" w14:textId="13DAB260" w:rsidR="0004022B" w:rsidRDefault="0004022B" w:rsidP="004C7EC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04022B" w:rsidRPr="000501A2" w14:paraId="4C0CE1C5" w14:textId="5A38193D" w:rsidTr="0004022B">
        <w:trPr>
          <w:trHeight w:val="236"/>
        </w:trPr>
        <w:tc>
          <w:tcPr>
            <w:tcW w:w="1667" w:type="pct"/>
            <w:vAlign w:val="center"/>
          </w:tcPr>
          <w:p w14:paraId="4C0CE1C3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 and 99 KM:</w:t>
            </w:r>
          </w:p>
        </w:tc>
        <w:tc>
          <w:tcPr>
            <w:tcW w:w="1667" w:type="pct"/>
            <w:vAlign w:val="center"/>
          </w:tcPr>
          <w:p w14:paraId="4C0CE1C4" w14:textId="2B661AFD" w:rsidR="0004022B" w:rsidRPr="000501A2" w:rsidRDefault="0004022B" w:rsidP="000402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</w:t>
            </w: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EUR per participant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352D322C" w14:textId="77777777" w:rsidR="0004022B" w:rsidRPr="000501A2" w:rsidRDefault="0004022B" w:rsidP="000402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04022B" w:rsidRPr="000501A2" w14:paraId="4C0CE1C8" w14:textId="21EA82E0" w:rsidTr="0004022B">
        <w:trPr>
          <w:trHeight w:val="236"/>
        </w:trPr>
        <w:tc>
          <w:tcPr>
            <w:tcW w:w="1667" w:type="pct"/>
            <w:vAlign w:val="center"/>
          </w:tcPr>
          <w:p w14:paraId="4C0CE1C6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vAlign w:val="center"/>
          </w:tcPr>
          <w:p w14:paraId="4C0CE1C7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</w:tcPr>
          <w:p w14:paraId="3CAB8A64" w14:textId="480A48EE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04022B" w:rsidRPr="000501A2" w14:paraId="4C0CE1CB" w14:textId="1BE8EEF4" w:rsidTr="0004022B">
        <w:trPr>
          <w:trHeight w:val="268"/>
        </w:trPr>
        <w:tc>
          <w:tcPr>
            <w:tcW w:w="1667" w:type="pct"/>
            <w:vAlign w:val="center"/>
          </w:tcPr>
          <w:p w14:paraId="4C0CE1C9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vAlign w:val="center"/>
          </w:tcPr>
          <w:p w14:paraId="4C0CE1CA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</w:tcPr>
          <w:p w14:paraId="5223CB33" w14:textId="384E31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04022B" w:rsidRPr="000501A2" w14:paraId="4C0CE1CE" w14:textId="42374516" w:rsidTr="0004022B">
        <w:trPr>
          <w:trHeight w:val="272"/>
        </w:trPr>
        <w:tc>
          <w:tcPr>
            <w:tcW w:w="1667" w:type="pct"/>
            <w:vAlign w:val="center"/>
          </w:tcPr>
          <w:p w14:paraId="4C0CE1CC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vAlign w:val="center"/>
          </w:tcPr>
          <w:p w14:paraId="4C0CE1CD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</w:tcPr>
          <w:p w14:paraId="5D622380" w14:textId="46BA9A48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04022B" w:rsidRPr="000501A2" w14:paraId="4C0CE1D1" w14:textId="18F8BC6B" w:rsidTr="0004022B">
        <w:trPr>
          <w:trHeight w:val="262"/>
        </w:trPr>
        <w:tc>
          <w:tcPr>
            <w:tcW w:w="1667" w:type="pct"/>
            <w:vAlign w:val="center"/>
          </w:tcPr>
          <w:p w14:paraId="4C0CE1CF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vAlign w:val="center"/>
          </w:tcPr>
          <w:p w14:paraId="4C0CE1D0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</w:tcPr>
          <w:p w14:paraId="19612353" w14:textId="3C247DD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04022B" w:rsidRPr="000501A2" w14:paraId="4C0CE1D4" w14:textId="3E94E172" w:rsidTr="0004022B">
        <w:trPr>
          <w:trHeight w:val="280"/>
        </w:trPr>
        <w:tc>
          <w:tcPr>
            <w:tcW w:w="1667" w:type="pct"/>
            <w:vAlign w:val="center"/>
          </w:tcPr>
          <w:p w14:paraId="4C0CE1D2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vAlign w:val="center"/>
          </w:tcPr>
          <w:p w14:paraId="4C0CE1D3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7099B864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04022B" w:rsidRPr="000501A2" w14:paraId="4C0CE1D7" w14:textId="5443B655" w:rsidTr="0004022B">
        <w:trPr>
          <w:trHeight w:val="270"/>
        </w:trPr>
        <w:tc>
          <w:tcPr>
            <w:tcW w:w="1667" w:type="pct"/>
            <w:vAlign w:val="center"/>
          </w:tcPr>
          <w:p w14:paraId="4C0CE1D5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vAlign w:val="center"/>
          </w:tcPr>
          <w:p w14:paraId="4C0CE1D6" w14:textId="42625383" w:rsidR="0004022B" w:rsidRPr="000501A2" w:rsidRDefault="0004022B" w:rsidP="00523C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44B6CB32" w14:textId="77777777" w:rsidR="0004022B" w:rsidRPr="000501A2" w:rsidRDefault="0004022B" w:rsidP="00523C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48784151" w14:textId="77777777" w:rsidR="00A55CED" w:rsidRDefault="00A55CED" w:rsidP="00B00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0CE1D8" w14:textId="56AF5A5C" w:rsidR="00C6134E" w:rsidRDefault="00B000DD" w:rsidP="00B00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0DD"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0DD">
        <w:rPr>
          <w:rFonts w:ascii="Times New Roman" w:hAnsi="Times New Roman"/>
          <w:sz w:val="24"/>
          <w:szCs w:val="24"/>
        </w:rPr>
        <w:t xml:space="preserve">Students and recent graduates who do not receive travel support can opt for green travel. In this case, they will receive a single contribution of </w:t>
      </w:r>
      <w:r w:rsidRPr="00B000DD">
        <w:rPr>
          <w:rFonts w:ascii="Times New Roman" w:hAnsi="Times New Roman"/>
          <w:b/>
          <w:sz w:val="24"/>
          <w:szCs w:val="24"/>
        </w:rPr>
        <w:t>50 EUR</w:t>
      </w:r>
      <w:r w:rsidRPr="00B000DD">
        <w:rPr>
          <w:rFonts w:ascii="Times New Roman" w:hAnsi="Times New Roman"/>
          <w:sz w:val="24"/>
          <w:szCs w:val="24"/>
        </w:rPr>
        <w:t xml:space="preserve"> as a top-up amount to the individual support</w:t>
      </w:r>
      <w:r>
        <w:rPr>
          <w:rFonts w:ascii="Times New Roman" w:hAnsi="Times New Roman"/>
          <w:sz w:val="24"/>
          <w:szCs w:val="24"/>
        </w:rPr>
        <w:t>.</w:t>
      </w:r>
    </w:p>
    <w:p w14:paraId="647DAE34" w14:textId="77777777" w:rsidR="00B000DD" w:rsidRPr="000501A2" w:rsidRDefault="00B000DD" w:rsidP="00C613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152250" w14:textId="6B9F1D3A" w:rsidR="00B7716A" w:rsidRPr="00B000DD" w:rsidRDefault="00B7716A" w:rsidP="00C6134E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 w:rsidRPr="00B000DD">
        <w:rPr>
          <w:rFonts w:ascii="Times New Roman" w:hAnsi="Times New Roman"/>
          <w:b/>
          <w:sz w:val="24"/>
          <w:szCs w:val="24"/>
        </w:rPr>
        <w:t>Staff mobility</w:t>
      </w:r>
    </w:p>
    <w:p w14:paraId="6D277F16" w14:textId="30AA8BD1" w:rsidR="00B7716A" w:rsidRDefault="00B7716A" w:rsidP="00C6134E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22"/>
        <w:gridCol w:w="3021"/>
        <w:gridCol w:w="3019"/>
      </w:tblGrid>
      <w:tr w:rsidR="00B7716A" w:rsidRPr="000501A2" w14:paraId="4F7EEE72" w14:textId="77777777" w:rsidTr="00CF3888"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D1527C0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FA2E75D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Standard travel - </w:t>
            </w:r>
            <w:r w:rsidRPr="000501A2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pct10" w:color="auto" w:fill="auto"/>
          </w:tcPr>
          <w:p w14:paraId="7792A2DD" w14:textId="77777777" w:rsidR="00B7716A" w:rsidRDefault="00B7716A" w:rsidP="00CF3888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B7716A" w:rsidRPr="000501A2" w14:paraId="2E330C82" w14:textId="77777777" w:rsidTr="00CF3888">
        <w:trPr>
          <w:trHeight w:val="236"/>
        </w:trPr>
        <w:tc>
          <w:tcPr>
            <w:tcW w:w="1667" w:type="pct"/>
            <w:vAlign w:val="center"/>
          </w:tcPr>
          <w:p w14:paraId="538E767C" w14:textId="115193B6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Between </w:t>
            </w:r>
            <w:r w:rsidR="007F3410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 and 99 KM:</w:t>
            </w:r>
          </w:p>
        </w:tc>
        <w:tc>
          <w:tcPr>
            <w:tcW w:w="1667" w:type="pct"/>
            <w:vAlign w:val="center"/>
          </w:tcPr>
          <w:p w14:paraId="1B64628B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</w:t>
            </w: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EUR per participant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75252CC2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B7716A" w:rsidRPr="000501A2" w14:paraId="26114733" w14:textId="77777777" w:rsidTr="00CF3888">
        <w:trPr>
          <w:trHeight w:val="236"/>
        </w:trPr>
        <w:tc>
          <w:tcPr>
            <w:tcW w:w="1667" w:type="pct"/>
            <w:vAlign w:val="center"/>
          </w:tcPr>
          <w:p w14:paraId="77739EC8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vAlign w:val="center"/>
          </w:tcPr>
          <w:p w14:paraId="299F4A68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</w:tcPr>
          <w:p w14:paraId="5EF6330C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B7716A" w:rsidRPr="000501A2" w14:paraId="216DA761" w14:textId="77777777" w:rsidTr="00CF3888">
        <w:trPr>
          <w:trHeight w:val="268"/>
        </w:trPr>
        <w:tc>
          <w:tcPr>
            <w:tcW w:w="1667" w:type="pct"/>
            <w:vAlign w:val="center"/>
          </w:tcPr>
          <w:p w14:paraId="7FE54252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vAlign w:val="center"/>
          </w:tcPr>
          <w:p w14:paraId="192E38FB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</w:tcPr>
          <w:p w14:paraId="1D4CABF5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B7716A" w:rsidRPr="000501A2" w14:paraId="46A1B558" w14:textId="77777777" w:rsidTr="00CF3888">
        <w:trPr>
          <w:trHeight w:val="272"/>
        </w:trPr>
        <w:tc>
          <w:tcPr>
            <w:tcW w:w="1667" w:type="pct"/>
            <w:vAlign w:val="center"/>
          </w:tcPr>
          <w:p w14:paraId="06BAF1C2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vAlign w:val="center"/>
          </w:tcPr>
          <w:p w14:paraId="4CD957D2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</w:tcPr>
          <w:p w14:paraId="490B03E8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B7716A" w:rsidRPr="000501A2" w14:paraId="097B2C1E" w14:textId="77777777" w:rsidTr="00CF3888">
        <w:trPr>
          <w:trHeight w:val="262"/>
        </w:trPr>
        <w:tc>
          <w:tcPr>
            <w:tcW w:w="1667" w:type="pct"/>
            <w:vAlign w:val="center"/>
          </w:tcPr>
          <w:p w14:paraId="44B6D78C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vAlign w:val="center"/>
          </w:tcPr>
          <w:p w14:paraId="3577E2E3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</w:tcPr>
          <w:p w14:paraId="5347EDD0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B7716A" w:rsidRPr="000501A2" w14:paraId="4C6D8650" w14:textId="77777777" w:rsidTr="00CF3888">
        <w:trPr>
          <w:trHeight w:val="280"/>
        </w:trPr>
        <w:tc>
          <w:tcPr>
            <w:tcW w:w="1667" w:type="pct"/>
            <w:vAlign w:val="center"/>
          </w:tcPr>
          <w:p w14:paraId="55582F6C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vAlign w:val="center"/>
          </w:tcPr>
          <w:p w14:paraId="332028BD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73C7A0B7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B7716A" w:rsidRPr="000501A2" w14:paraId="41EFB0AF" w14:textId="77777777" w:rsidTr="00CF3888">
        <w:trPr>
          <w:trHeight w:val="270"/>
        </w:trPr>
        <w:tc>
          <w:tcPr>
            <w:tcW w:w="1667" w:type="pct"/>
            <w:vAlign w:val="center"/>
          </w:tcPr>
          <w:p w14:paraId="20C69264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vAlign w:val="center"/>
          </w:tcPr>
          <w:p w14:paraId="7CEACC4F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56ACE590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09985410" w14:textId="77777777" w:rsidR="00E336EE" w:rsidRDefault="00E336EE" w:rsidP="00A071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0CE1D9" w14:textId="75AD04A6" w:rsidR="00C6134E" w:rsidRPr="00A071B4" w:rsidRDefault="00A071B4" w:rsidP="00A071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Nota bene: </w:t>
      </w:r>
      <w:r w:rsidR="00C6134E" w:rsidRPr="00A071B4">
        <w:rPr>
          <w:rFonts w:ascii="Times New Roman" w:hAnsi="Times New Roman"/>
          <w:sz w:val="24"/>
          <w:szCs w:val="24"/>
        </w:rPr>
        <w:t>the "travel distance" represents the distance between the place of origin and the venue, whereas the "amount" covers the contribution to the travel both to and from the venue.</w:t>
      </w:r>
    </w:p>
    <w:p w14:paraId="3DA7ACC7" w14:textId="79418EB5" w:rsidR="00CB0A23" w:rsidRDefault="00CB0A23" w:rsidP="0072048B">
      <w:pPr>
        <w:spacing w:after="0" w:line="240" w:lineRule="auto"/>
        <w:rPr>
          <w:rFonts w:ascii="Times New Roman" w:hAnsi="Times New Roman" w:cs="Times New Roman"/>
          <w:b/>
        </w:rPr>
      </w:pPr>
    </w:p>
    <w:p w14:paraId="630CA9D1" w14:textId="77777777" w:rsidR="00D06E36" w:rsidRDefault="00D06E36" w:rsidP="0072048B">
      <w:pPr>
        <w:spacing w:after="0" w:line="240" w:lineRule="auto"/>
        <w:rPr>
          <w:rFonts w:ascii="Times New Roman" w:hAnsi="Times New Roman" w:cs="Times New Roman"/>
          <w:b/>
        </w:rPr>
      </w:pPr>
    </w:p>
    <w:p w14:paraId="4C0CE1E2" w14:textId="202A611A" w:rsidR="008E179D" w:rsidRPr="002D2A5F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A5F">
        <w:rPr>
          <w:rFonts w:ascii="Times New Roman" w:hAnsi="Times New Roman" w:cs="Times New Roman"/>
          <w:b/>
          <w:sz w:val="24"/>
          <w:szCs w:val="24"/>
        </w:rPr>
        <w:t xml:space="preserve">2. Individual support </w:t>
      </w:r>
      <w:r w:rsidR="00925734">
        <w:rPr>
          <w:rFonts w:ascii="Times New Roman" w:hAnsi="Times New Roman" w:cs="Times New Roman"/>
          <w:b/>
          <w:sz w:val="24"/>
          <w:szCs w:val="24"/>
        </w:rPr>
        <w:t>for physical mobility</w:t>
      </w:r>
    </w:p>
    <w:p w14:paraId="4C0CE1E3" w14:textId="77777777" w:rsidR="006D1AF1" w:rsidRPr="00DE37ED" w:rsidRDefault="006D1AF1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EC87DC9" w14:textId="77777777" w:rsidR="00254A05" w:rsidRDefault="00DE37ED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7DD0">
        <w:rPr>
          <w:rFonts w:ascii="Times New Roman" w:hAnsi="Times New Roman"/>
          <w:b/>
          <w:sz w:val="24"/>
          <w:szCs w:val="24"/>
        </w:rPr>
        <w:t>S</w:t>
      </w:r>
      <w:r w:rsidR="008E179D" w:rsidRPr="004F7DD0">
        <w:rPr>
          <w:rFonts w:ascii="Times New Roman" w:hAnsi="Times New Roman"/>
          <w:b/>
          <w:sz w:val="24"/>
          <w:szCs w:val="24"/>
        </w:rPr>
        <w:t>taff mobility</w:t>
      </w:r>
    </w:p>
    <w:p w14:paraId="46EEDF0A" w14:textId="54EF622A" w:rsidR="00421696" w:rsidRDefault="00421696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E95D5CC" w14:textId="5537EC91" w:rsidR="00421696" w:rsidRDefault="00421696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627"/>
        <w:gridCol w:w="3718"/>
        <w:gridCol w:w="3544"/>
      </w:tblGrid>
      <w:tr w:rsidR="00C82752" w:rsidRPr="00A55CED" w14:paraId="5A05E512" w14:textId="77777777" w:rsidTr="007A20ED">
        <w:trPr>
          <w:trHeight w:val="79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8B2EA7" w14:textId="77777777" w:rsidR="00C82752" w:rsidRPr="004F7DD0" w:rsidRDefault="00C82752" w:rsidP="007A20ED">
            <w:pPr>
              <w:spacing w:after="1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6897B03" w14:textId="77777777" w:rsidR="00C82752" w:rsidRPr="004F7DD0" w:rsidRDefault="00C82752" w:rsidP="007A20ED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Staff from EU Member States and third countries associated to the Programme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340DA5D" w14:textId="77777777" w:rsidR="00C82752" w:rsidRPr="004F7DD0" w:rsidRDefault="00C82752" w:rsidP="007A20ED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Staff from third countries not associated to the Programme</w:t>
            </w:r>
          </w:p>
        </w:tc>
      </w:tr>
      <w:tr w:rsidR="00C82752" w:rsidRPr="00A55CED" w14:paraId="5594AC61" w14:textId="77777777" w:rsidTr="007A20ED">
        <w:tc>
          <w:tcPr>
            <w:tcW w:w="2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F31C1BA" w14:textId="77777777" w:rsidR="00C82752" w:rsidRPr="004F7DD0" w:rsidRDefault="00C82752" w:rsidP="007A20ED">
            <w:pPr>
              <w:spacing w:after="1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Receiving country</w:t>
            </w:r>
          </w:p>
          <w:p w14:paraId="22E1BC69" w14:textId="77777777" w:rsidR="00C82752" w:rsidRPr="004F7DD0" w:rsidRDefault="00C82752" w:rsidP="007A20ED">
            <w:pPr>
              <w:spacing w:after="1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905D8B1" w14:textId="77777777" w:rsidR="00C82752" w:rsidRPr="004F7DD0" w:rsidRDefault="00C82752" w:rsidP="007A20ED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Min-Max (per day)</w:t>
            </w:r>
          </w:p>
          <w:p w14:paraId="0056E242" w14:textId="77777777" w:rsidR="00C82752" w:rsidRPr="004F7DD0" w:rsidRDefault="00C82752" w:rsidP="007A20ED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032BD4B" w14:textId="77777777" w:rsidR="00C82752" w:rsidRPr="004F7DD0" w:rsidRDefault="00C82752" w:rsidP="007A20ED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Amount (per day)</w:t>
            </w:r>
          </w:p>
        </w:tc>
      </w:tr>
      <w:tr w:rsidR="00C82752" w:rsidRPr="00A55CED" w14:paraId="1FCCDF8C" w14:textId="77777777" w:rsidTr="007A20ED">
        <w:trPr>
          <w:trHeight w:val="255"/>
        </w:trPr>
        <w:tc>
          <w:tcPr>
            <w:tcW w:w="2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5EE10" w14:textId="77777777" w:rsidR="00C82752" w:rsidRPr="004F7DD0" w:rsidRDefault="00C82752" w:rsidP="007A20ED">
            <w:pPr>
              <w:spacing w:after="1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FAABA12" w14:textId="77777777" w:rsidR="00C82752" w:rsidRPr="004F7DD0" w:rsidRDefault="00C82752" w:rsidP="007A20ED">
            <w:pPr>
              <w:spacing w:after="1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A1.1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3B131B5" w14:textId="77777777" w:rsidR="00C82752" w:rsidRPr="004F7DD0" w:rsidRDefault="00C82752" w:rsidP="007A20ED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sz w:val="24"/>
                <w:szCs w:val="24"/>
              </w:rPr>
              <w:t>A1.2</w:t>
            </w:r>
          </w:p>
        </w:tc>
      </w:tr>
      <w:tr w:rsidR="00C82752" w:rsidRPr="00A55CED" w14:paraId="78A1BEAA" w14:textId="77777777" w:rsidTr="007A20ED">
        <w:trPr>
          <w:trHeight w:val="118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1A8BBD4" w14:textId="77777777" w:rsidR="00C82752" w:rsidRPr="004F7DD0" w:rsidRDefault="00C82752" w:rsidP="007A20ED">
            <w:pPr>
              <w:spacing w:after="1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Norway</w:t>
            </w:r>
            <w:proofErr w:type="spellEnd"/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Denmark</w:t>
            </w:r>
            <w:proofErr w:type="spellEnd"/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 xml:space="preserve">, Luxembourg, </w:t>
            </w:r>
            <w:proofErr w:type="spellStart"/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Iceland</w:t>
            </w:r>
            <w:proofErr w:type="spellEnd"/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Sweden</w:t>
            </w:r>
            <w:proofErr w:type="spellEnd"/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Ireland</w:t>
            </w:r>
            <w:proofErr w:type="spellEnd"/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Finland</w:t>
            </w:r>
            <w:proofErr w:type="spellEnd"/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, Liechtenstein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F0E7F" w14:textId="30C08B91" w:rsidR="004B5EBD" w:rsidRPr="004B5EBD" w:rsidRDefault="00526D0A" w:rsidP="004B5EBD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€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EBD" w:rsidRPr="004B5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80-180 </w:t>
            </w:r>
          </w:p>
          <w:p w14:paraId="113A6FD0" w14:textId="50231F84" w:rsidR="00C82752" w:rsidRPr="004F7DD0" w:rsidRDefault="00C82752" w:rsidP="004B5EBD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03018" w14:textId="77777777" w:rsidR="00C82752" w:rsidRPr="004F7DD0" w:rsidRDefault="00C82752" w:rsidP="007A20ED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C82752" w:rsidRPr="00A55CED" w14:paraId="6220B589" w14:textId="77777777" w:rsidTr="007A20ED">
        <w:trPr>
          <w:trHeight w:val="118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01C7791" w14:textId="11F68297" w:rsidR="00C82752" w:rsidRPr="004F7DD0" w:rsidRDefault="00C82752" w:rsidP="007A20ED">
            <w:pPr>
              <w:spacing w:after="1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Third countries not associated to the Programme from Region 14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DC073" w14:textId="77777777" w:rsidR="000D2270" w:rsidRPr="004B5EBD" w:rsidRDefault="000D2270" w:rsidP="000D227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€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B5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80-180 </w:t>
            </w:r>
          </w:p>
          <w:p w14:paraId="0F23E09A" w14:textId="0B27C4F9" w:rsidR="00C82752" w:rsidRPr="004F7DD0" w:rsidRDefault="00C82752" w:rsidP="00967433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C2F36" w14:textId="77777777" w:rsidR="00C82752" w:rsidRPr="004F7DD0" w:rsidRDefault="00C82752" w:rsidP="007A20ED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5C1E75" w14:textId="77777777" w:rsidR="00C82752" w:rsidRPr="004F7DD0" w:rsidRDefault="00C82752" w:rsidP="007A20ED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sz w:val="24"/>
                <w:szCs w:val="24"/>
              </w:rPr>
              <w:t>Not eligible</w:t>
            </w:r>
          </w:p>
          <w:p w14:paraId="34094173" w14:textId="77777777" w:rsidR="00C82752" w:rsidRPr="004F7DD0" w:rsidRDefault="00C82752" w:rsidP="007A20ED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752" w:rsidRPr="00A55CED" w14:paraId="45C58AC7" w14:textId="77777777" w:rsidTr="007A20ED">
        <w:trPr>
          <w:trHeight w:val="118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BE14407" w14:textId="77777777" w:rsidR="00C82752" w:rsidRPr="004F7DD0" w:rsidRDefault="00C82752" w:rsidP="007A20ED">
            <w:pPr>
              <w:spacing w:after="1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Netherlands, Austria, Belgium, France, Germany, Italy, Spain, Cyprus, Greece, Malta, Portugal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CF48D" w14:textId="65B6F4DE" w:rsidR="00967433" w:rsidRPr="004B5EBD" w:rsidRDefault="00526D0A" w:rsidP="00967433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€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7433" w:rsidRPr="004B5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70-160 </w:t>
            </w:r>
          </w:p>
          <w:p w14:paraId="2BFB92AA" w14:textId="0FBC322B" w:rsidR="00C82752" w:rsidRPr="004F7DD0" w:rsidRDefault="00C82752" w:rsidP="00967433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66097" w14:textId="77777777" w:rsidR="00C82752" w:rsidRPr="004F7DD0" w:rsidRDefault="00C82752" w:rsidP="007A20ED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248314" w14:textId="77777777" w:rsidR="00C82752" w:rsidRPr="004F7DD0" w:rsidRDefault="00C82752" w:rsidP="007A20ED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</w:tr>
      <w:tr w:rsidR="00C82752" w:rsidRPr="00A55CED" w14:paraId="2F079CB2" w14:textId="77777777" w:rsidTr="007A20ED">
        <w:trPr>
          <w:trHeight w:val="118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669DF71" w14:textId="77777777" w:rsidR="00C82752" w:rsidRPr="004F7DD0" w:rsidRDefault="00C82752" w:rsidP="007A20ED">
            <w:pPr>
              <w:spacing w:after="1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Third countries not associated to the Programme from Region 13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CDD27" w14:textId="77777777" w:rsidR="000D2270" w:rsidRPr="004B5EBD" w:rsidRDefault="000D2270" w:rsidP="000D227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€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B5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70-160 </w:t>
            </w:r>
          </w:p>
          <w:p w14:paraId="66ADC226" w14:textId="4A03C43C" w:rsidR="00C82752" w:rsidRPr="004F7DD0" w:rsidRDefault="00C82752" w:rsidP="00B95E58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E0C50" w14:textId="77777777" w:rsidR="00C82752" w:rsidRPr="004F7DD0" w:rsidRDefault="00C82752" w:rsidP="007A20ED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72B311A" w14:textId="77777777" w:rsidR="00C82752" w:rsidRPr="004F7DD0" w:rsidRDefault="00C82752" w:rsidP="007A20ED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sz w:val="24"/>
                <w:szCs w:val="24"/>
              </w:rPr>
              <w:t>Not eligible</w:t>
            </w:r>
          </w:p>
        </w:tc>
      </w:tr>
      <w:tr w:rsidR="00C82752" w:rsidRPr="00A55CED" w14:paraId="4477AD19" w14:textId="77777777" w:rsidTr="007A20ED">
        <w:trPr>
          <w:trHeight w:val="112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21321DE" w14:textId="77777777" w:rsidR="00C82752" w:rsidRPr="004F7DD0" w:rsidRDefault="00C82752" w:rsidP="007A20ED">
            <w:pPr>
              <w:spacing w:after="1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Slovenia, Estonia, Latvia, Croatia, Slovakia, Czech Republic, Lithuania, Turkey, Hungary, Poland, Romania, Bulgaria, North Macedonia, Serbia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A8FD9" w14:textId="36DCD585" w:rsidR="00967433" w:rsidRPr="004B5EBD" w:rsidRDefault="00526D0A" w:rsidP="00967433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€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7433" w:rsidRPr="004B5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60-140 </w:t>
            </w:r>
          </w:p>
          <w:p w14:paraId="43072D3F" w14:textId="41DD4774" w:rsidR="00C82752" w:rsidRPr="004F7DD0" w:rsidRDefault="00C82752" w:rsidP="007A20ED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F9D70" w14:textId="77777777" w:rsidR="00C82752" w:rsidRPr="004F7DD0" w:rsidRDefault="00C82752" w:rsidP="007A20ED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27731B" w14:textId="77777777" w:rsidR="00C82752" w:rsidRPr="004F7DD0" w:rsidRDefault="00C82752" w:rsidP="007A20ED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140</w:t>
            </w:r>
          </w:p>
        </w:tc>
      </w:tr>
      <w:tr w:rsidR="00C82752" w:rsidRPr="00A55CED" w14:paraId="542A441F" w14:textId="77777777" w:rsidTr="007A20ED">
        <w:trPr>
          <w:trHeight w:val="1110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E386D33" w14:textId="77777777" w:rsidR="00C82752" w:rsidRPr="004F7DD0" w:rsidRDefault="00C82752" w:rsidP="007A20ED">
            <w:pPr>
              <w:spacing w:after="1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Third countries not associated to the Programme from Regions 1-12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2248F" w14:textId="50F8263C" w:rsidR="00C82752" w:rsidRPr="004F7DD0" w:rsidRDefault="00526D0A" w:rsidP="007A20ED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€</w:t>
            </w:r>
            <w:r w:rsidR="00C82752" w:rsidRPr="004F7DD0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12C0F" w14:textId="77777777" w:rsidR="00C82752" w:rsidRPr="004F7DD0" w:rsidRDefault="00C82752" w:rsidP="007A20ED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C04186F" w14:textId="77777777" w:rsidR="00C82752" w:rsidRPr="004F7DD0" w:rsidRDefault="00C82752" w:rsidP="007A20ED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DD0">
              <w:rPr>
                <w:rFonts w:ascii="Times New Roman" w:eastAsia="Calibri" w:hAnsi="Times New Roman" w:cs="Times New Roman"/>
                <w:sz w:val="24"/>
                <w:szCs w:val="24"/>
              </w:rPr>
              <w:t>Not eligible</w:t>
            </w:r>
          </w:p>
        </w:tc>
      </w:tr>
    </w:tbl>
    <w:p w14:paraId="5D7B6172" w14:textId="61564C65" w:rsidR="00421696" w:rsidRDefault="00421696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8CBE80A" w14:textId="0095EBA9" w:rsidR="00F9359C" w:rsidRDefault="00F9359C" w:rsidP="00F935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DD0">
        <w:rPr>
          <w:rFonts w:ascii="Times New Roman" w:hAnsi="Times New Roman" w:cs="Times New Roman"/>
          <w:sz w:val="24"/>
        </w:rPr>
        <w:t xml:space="preserve">These rates fixed by the National Agency or by the higher education institutions themselves (within the range) are </w:t>
      </w:r>
      <w:r w:rsidRPr="004F7DD0">
        <w:rPr>
          <w:rFonts w:ascii="Times New Roman" w:hAnsi="Times New Roman" w:cs="Times New Roman"/>
          <w:b/>
          <w:sz w:val="24"/>
        </w:rPr>
        <w:t>fixed</w:t>
      </w:r>
      <w:r w:rsidRPr="004F7DD0">
        <w:rPr>
          <w:rFonts w:ascii="Times New Roman" w:hAnsi="Times New Roman" w:cs="Times New Roman"/>
          <w:sz w:val="24"/>
        </w:rPr>
        <w:t xml:space="preserve"> for the entire mobility project.</w:t>
      </w:r>
    </w:p>
    <w:p w14:paraId="127E5A69" w14:textId="77777777" w:rsidR="00B95E58" w:rsidRPr="004F7DD0" w:rsidRDefault="00B95E58" w:rsidP="00F935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C0CE1FA" w14:textId="5ADF9A3F" w:rsidR="006D1A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>Nota bene: the amount per day is calculated as follows:</w:t>
      </w:r>
    </w:p>
    <w:p w14:paraId="4F2D438B" w14:textId="77777777" w:rsidR="00526D0A" w:rsidRPr="00D878F1" w:rsidRDefault="00526D0A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0CE1FB" w14:textId="77777777" w:rsidR="006D1AF1" w:rsidRPr="00D878F1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proofErr w:type="gram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up</w:t>
      </w:r>
      <w:proofErr w:type="gram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to the 14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day of activity: the amount per day per participant as specified in the table above</w:t>
      </w:r>
    </w:p>
    <w:p w14:paraId="4C0CE1FC" w14:textId="77777777" w:rsidR="006D1AF1" w:rsidRPr="00D878F1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+</w:t>
      </w:r>
    </w:p>
    <w:p w14:paraId="4C0CE1FF" w14:textId="3AA9A7A0" w:rsidR="00DE37ED" w:rsidRDefault="006D1AF1" w:rsidP="0072048B">
      <w:pPr>
        <w:spacing w:after="0" w:line="240" w:lineRule="auto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proofErr w:type="gram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between</w:t>
      </w:r>
      <w:proofErr w:type="gram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the 15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and 60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day of activity: 70% of amount per day per participant as specified in the table above</w:t>
      </w:r>
      <w:r w:rsidR="0045432C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.</w:t>
      </w:r>
    </w:p>
    <w:p w14:paraId="6D3A020B" w14:textId="77777777" w:rsidR="00E86B26" w:rsidRDefault="00E86B26" w:rsidP="00E86B2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933DAF" w14:textId="145F2179" w:rsidR="00E86B26" w:rsidRDefault="00E86B26" w:rsidP="00E86B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D2DAA">
        <w:rPr>
          <w:rFonts w:ascii="Times New Roman" w:hAnsi="Times New Roman" w:cs="Times New Roman"/>
          <w:sz w:val="24"/>
        </w:rPr>
        <w:t xml:space="preserve">Staff participants </w:t>
      </w:r>
      <w:proofErr w:type="gramStart"/>
      <w:r w:rsidRPr="002D2DAA">
        <w:rPr>
          <w:rFonts w:ascii="Times New Roman" w:hAnsi="Times New Roman" w:cs="Times New Roman"/>
          <w:sz w:val="24"/>
        </w:rPr>
        <w:t>on  staff</w:t>
      </w:r>
      <w:proofErr w:type="gramEnd"/>
      <w:r w:rsidRPr="002D2DAA">
        <w:rPr>
          <w:rFonts w:ascii="Times New Roman" w:hAnsi="Times New Roman" w:cs="Times New Roman"/>
          <w:sz w:val="24"/>
        </w:rPr>
        <w:t xml:space="preserve"> mobility may receive up to two travel days funded by individual support.</w:t>
      </w:r>
    </w:p>
    <w:p w14:paraId="2093EE32" w14:textId="77777777" w:rsidR="00B95E58" w:rsidRPr="002D2DAA" w:rsidRDefault="00B95E58" w:rsidP="00E86B2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7B2542A" w14:textId="77777777" w:rsidR="00E86B26" w:rsidRDefault="00E86B26" w:rsidP="00E86B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D2DAA">
        <w:rPr>
          <w:rFonts w:ascii="Times New Roman" w:hAnsi="Times New Roman" w:cs="Times New Roman"/>
          <w:sz w:val="24"/>
        </w:rPr>
        <w:t>In case of green travel with sustainable means of transport, staff participants on staff mobility may receive up to four additional travel days funded by individual support.</w:t>
      </w:r>
    </w:p>
    <w:p w14:paraId="029E46E4" w14:textId="656D4AB1" w:rsidR="00421696" w:rsidRDefault="00421696" w:rsidP="0072048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CD75B51" w14:textId="77777777" w:rsidR="00E86B26" w:rsidRDefault="00E86B26" w:rsidP="0072048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C0CE200" w14:textId="046146CE" w:rsidR="006D1AF1" w:rsidRPr="004F7DD0" w:rsidRDefault="008B0DC4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6D1AF1" w:rsidRPr="004F7DD0">
        <w:rPr>
          <w:rFonts w:ascii="Times New Roman" w:hAnsi="Times New Roman"/>
          <w:b/>
          <w:sz w:val="24"/>
          <w:szCs w:val="24"/>
        </w:rPr>
        <w:t xml:space="preserve">tudent </w:t>
      </w:r>
      <w:r w:rsidR="008E179D" w:rsidRPr="004F7DD0">
        <w:rPr>
          <w:rFonts w:ascii="Times New Roman" w:hAnsi="Times New Roman"/>
          <w:b/>
          <w:sz w:val="24"/>
          <w:szCs w:val="24"/>
        </w:rPr>
        <w:t>mobility</w:t>
      </w:r>
    </w:p>
    <w:p w14:paraId="4C0CE201" w14:textId="77777777" w:rsidR="006D1AF1" w:rsidRPr="006D1AF1" w:rsidRDefault="006D1AF1" w:rsidP="0072048B">
      <w:pPr>
        <w:spacing w:after="0" w:line="240" w:lineRule="auto"/>
        <w:rPr>
          <w:rFonts w:ascii="Times New Roman" w:hAnsi="Times New Roman" w:cs="Times New Roman"/>
        </w:rPr>
      </w:pPr>
    </w:p>
    <w:p w14:paraId="4C0CE202" w14:textId="5B1E95D2" w:rsidR="006D1AF1" w:rsidRDefault="009B43CC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Base amount for </w:t>
      </w:r>
      <w:r w:rsidR="009121EA">
        <w:rPr>
          <w:rFonts w:ascii="Times New Roman" w:hAnsi="Times New Roman"/>
          <w:b/>
          <w:sz w:val="24"/>
          <w:szCs w:val="24"/>
        </w:rPr>
        <w:t xml:space="preserve">long-term </w:t>
      </w:r>
      <w:r>
        <w:rPr>
          <w:rFonts w:ascii="Times New Roman" w:hAnsi="Times New Roman"/>
          <w:b/>
          <w:sz w:val="24"/>
          <w:szCs w:val="24"/>
        </w:rPr>
        <w:t>s</w:t>
      </w:r>
      <w:r w:rsidR="006D1AF1" w:rsidRPr="00D878F1">
        <w:rPr>
          <w:rFonts w:ascii="Times New Roman" w:hAnsi="Times New Roman"/>
          <w:b/>
          <w:sz w:val="24"/>
          <w:szCs w:val="24"/>
        </w:rPr>
        <w:t xml:space="preserve">tudent mobility for studies </w:t>
      </w:r>
      <w:r>
        <w:rPr>
          <w:rFonts w:ascii="Times New Roman" w:hAnsi="Times New Roman"/>
          <w:b/>
          <w:sz w:val="24"/>
          <w:szCs w:val="24"/>
        </w:rPr>
        <w:t xml:space="preserve">and traineeships </w:t>
      </w:r>
      <w:r w:rsidR="009121EA">
        <w:rPr>
          <w:rFonts w:ascii="Times New Roman" w:hAnsi="Times New Roman"/>
          <w:b/>
          <w:sz w:val="24"/>
          <w:szCs w:val="24"/>
        </w:rPr>
        <w:t>to EU Member States, third countries associated to the programme and third countries not as</w:t>
      </w:r>
      <w:r w:rsidR="00254A05">
        <w:rPr>
          <w:rFonts w:ascii="Times New Roman" w:hAnsi="Times New Roman"/>
          <w:b/>
          <w:sz w:val="24"/>
          <w:szCs w:val="24"/>
        </w:rPr>
        <w:t>sociated to the P</w:t>
      </w:r>
      <w:r w:rsidR="009121EA">
        <w:rPr>
          <w:rFonts w:ascii="Times New Roman" w:hAnsi="Times New Roman"/>
          <w:b/>
          <w:sz w:val="24"/>
          <w:szCs w:val="24"/>
        </w:rPr>
        <w:t>rogramme from R</w:t>
      </w:r>
      <w:r w:rsidR="00FF5866">
        <w:rPr>
          <w:rFonts w:ascii="Times New Roman" w:hAnsi="Times New Roman"/>
          <w:b/>
          <w:sz w:val="24"/>
          <w:szCs w:val="24"/>
        </w:rPr>
        <w:t>egion</w:t>
      </w:r>
      <w:r w:rsidR="009121EA">
        <w:rPr>
          <w:rFonts w:ascii="Times New Roman" w:hAnsi="Times New Roman"/>
          <w:b/>
          <w:sz w:val="24"/>
          <w:szCs w:val="24"/>
        </w:rPr>
        <w:t xml:space="preserve"> 13 and 14, </w:t>
      </w:r>
      <w:r w:rsidR="006D1AF1" w:rsidRPr="00D878F1">
        <w:rPr>
          <w:rFonts w:ascii="Times New Roman" w:hAnsi="Times New Roman"/>
          <w:b/>
          <w:sz w:val="24"/>
          <w:szCs w:val="24"/>
        </w:rPr>
        <w:t>except for students from outermost regions</w:t>
      </w:r>
      <w:r w:rsidR="00D72D11">
        <w:rPr>
          <w:rFonts w:ascii="Times New Roman" w:hAnsi="Times New Roman"/>
          <w:b/>
          <w:sz w:val="24"/>
          <w:szCs w:val="24"/>
        </w:rPr>
        <w:t xml:space="preserve"> and </w:t>
      </w:r>
      <w:r w:rsidR="00D72D11" w:rsidRPr="00AB45F7">
        <w:rPr>
          <w:rFonts w:ascii="Times New Roman" w:hAnsi="Times New Roman"/>
          <w:b/>
          <w:sz w:val="24"/>
          <w:szCs w:val="24"/>
        </w:rPr>
        <w:t>Overseas Countries and Territories</w:t>
      </w:r>
    </w:p>
    <w:p w14:paraId="3F666D6F" w14:textId="5781147D" w:rsidR="004B5EBD" w:rsidRDefault="004B5EBD" w:rsidP="004B5E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FBDF19" w14:textId="12AA73D6" w:rsidR="004B5EBD" w:rsidRDefault="004B5EBD" w:rsidP="004B5E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2AA399" w14:textId="77777777" w:rsidR="004B5EBD" w:rsidRDefault="004B5EBD" w:rsidP="004B5E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659B7C" w14:textId="77777777" w:rsidR="005F632B" w:rsidRPr="00D878F1" w:rsidRDefault="005F632B" w:rsidP="002D2A5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3457"/>
        <w:gridCol w:w="3827"/>
      </w:tblGrid>
      <w:tr w:rsidR="005F632B" w:rsidRPr="00D06E36" w14:paraId="4C0CE207" w14:textId="77777777" w:rsidTr="002D2A5F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E203" w14:textId="77777777" w:rsidR="005F632B" w:rsidRPr="00D06E36" w:rsidRDefault="005F632B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E204" w14:textId="77777777" w:rsidR="005F632B" w:rsidRPr="00D06E36" w:rsidRDefault="005F632B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D06E36">
              <w:rPr>
                <w:rFonts w:ascii="Times New Roman" w:eastAsia="Times New Roma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Receiving country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A82" w14:textId="77777777" w:rsidR="005F632B" w:rsidRPr="009121EA" w:rsidRDefault="005F632B" w:rsidP="005F63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3B41498D" w14:textId="50F9F984" w:rsidR="005F632B" w:rsidRPr="00D06E36" w:rsidRDefault="005F632B" w:rsidP="00B95E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D06E36">
              <w:rPr>
                <w:rFonts w:ascii="Times New Roman" w:eastAsia="Times New Roma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 per month</w:t>
            </w:r>
            <w:r w:rsidRPr="00D06E36">
              <w:rPr>
                <w:rFonts w:ascii="Times New Roman" w:eastAsia="Times New Roma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  <w:br/>
            </w:r>
          </w:p>
        </w:tc>
      </w:tr>
      <w:tr w:rsidR="005F632B" w:rsidRPr="00D06E36" w14:paraId="18233FAF" w14:textId="03D7DCE5" w:rsidTr="002D2A5F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3CEA" w14:textId="6D09C28B" w:rsidR="005F632B" w:rsidRPr="004F7DD0" w:rsidRDefault="005F632B" w:rsidP="001A5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F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Group 1</w:t>
            </w:r>
          </w:p>
          <w:p w14:paraId="272BA82A" w14:textId="64228C8F" w:rsidR="005F632B" w:rsidRPr="004F7DD0" w:rsidRDefault="005F632B" w:rsidP="001A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DD0">
              <w:rPr>
                <w:rFonts w:ascii="Times New Roman" w:hAnsi="Times New Roman" w:cs="Times New Roman"/>
                <w:b/>
                <w:sz w:val="24"/>
                <w:szCs w:val="24"/>
              </w:rPr>
              <w:t>Countries with higher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6E51" w14:textId="45F951B5" w:rsidR="005F632B" w:rsidRPr="004F7DD0" w:rsidRDefault="005F632B" w:rsidP="001A5E3D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/>
              </w:rPr>
            </w:pPr>
            <w:proofErr w:type="spellStart"/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/>
              </w:rPr>
              <w:t>Denmark</w:t>
            </w:r>
            <w:proofErr w:type="spellEnd"/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/>
              </w:rPr>
              <w:t>Finland</w:t>
            </w:r>
            <w:proofErr w:type="spellEnd"/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/>
              </w:rPr>
              <w:t>Iceland</w:t>
            </w:r>
            <w:proofErr w:type="spellEnd"/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/>
              </w:rPr>
              <w:t>Ireland</w:t>
            </w:r>
            <w:proofErr w:type="spellEnd"/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/>
              </w:rPr>
              <w:t xml:space="preserve">, </w:t>
            </w:r>
            <w:r w:rsidR="00FA36D3"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/>
              </w:rPr>
              <w:t xml:space="preserve">Liechtenstein, </w:t>
            </w:r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/>
              </w:rPr>
              <w:t xml:space="preserve">Luxembourg, </w:t>
            </w:r>
            <w:proofErr w:type="spellStart"/>
            <w:r w:rsidR="00FA36D3"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/>
              </w:rPr>
              <w:t>Norway</w:t>
            </w:r>
            <w:proofErr w:type="spellEnd"/>
            <w:r w:rsidR="00FA36D3"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/>
              </w:rPr>
              <w:t>Sweden</w:t>
            </w:r>
            <w:proofErr w:type="spellEnd"/>
          </w:p>
          <w:p w14:paraId="50DF0DDA" w14:textId="570A53F4" w:rsidR="00855240" w:rsidRPr="004F7DD0" w:rsidRDefault="00FA36D3" w:rsidP="001A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Third c</w:t>
            </w:r>
            <w:r w:rsidR="00855240"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ountries</w:t>
            </w:r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not associated to the Programme</w:t>
            </w:r>
            <w:r w:rsidR="00855240"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from Region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4A9F" w14:textId="77777777" w:rsidR="005F632B" w:rsidRPr="004F7DD0" w:rsidRDefault="005F632B" w:rsidP="0078495C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21050943" w14:textId="77777777" w:rsidR="0078495C" w:rsidRPr="0078495C" w:rsidRDefault="0078495C" w:rsidP="0078495C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8495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600 €</w:t>
            </w:r>
          </w:p>
          <w:p w14:paraId="0B41E37C" w14:textId="77777777" w:rsidR="005F632B" w:rsidRPr="004F7DD0" w:rsidRDefault="005F632B" w:rsidP="0078495C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F632B" w:rsidRPr="00D06E36" w14:paraId="3282152A" w14:textId="2EF66354" w:rsidTr="002D2A5F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EE19" w14:textId="77777777" w:rsidR="005F632B" w:rsidRPr="004F7DD0" w:rsidRDefault="005F632B" w:rsidP="001A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Group 2</w:t>
            </w:r>
          </w:p>
          <w:p w14:paraId="3E110089" w14:textId="42438B43" w:rsidR="005F632B" w:rsidRPr="004F7DD0" w:rsidRDefault="005F632B" w:rsidP="001A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DD0">
              <w:rPr>
                <w:rFonts w:ascii="Times New Roman" w:hAnsi="Times New Roman" w:cs="Times New Roman"/>
                <w:b/>
                <w:sz w:val="24"/>
                <w:szCs w:val="24"/>
              </w:rPr>
              <w:t>Countries with medium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D7DB" w14:textId="2A134A54" w:rsidR="005F632B" w:rsidRPr="004F7DD0" w:rsidRDefault="005F632B" w:rsidP="001A5E3D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Austria, Belgium, </w:t>
            </w:r>
            <w:r w:rsidR="00FA36D3"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Cyprus, France, </w:t>
            </w:r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Germany, </w:t>
            </w:r>
            <w:r w:rsidR="00FA36D3"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Greece, </w:t>
            </w:r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Italy, </w:t>
            </w:r>
            <w:r w:rsidR="00FA36D3"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Malta, Netherlands, Portugal</w:t>
            </w:r>
            <w:r w:rsidR="00547555"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</w:t>
            </w:r>
            <w:r w:rsidR="00FA36D3"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Spain</w:t>
            </w:r>
          </w:p>
          <w:p w14:paraId="2D4E5E3D" w14:textId="369140CD" w:rsidR="00855240" w:rsidRPr="004F7DD0" w:rsidRDefault="00FA36D3" w:rsidP="001A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Third countries not associated to the Programme </w:t>
            </w:r>
            <w:r w:rsidR="00855240"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from Region </w:t>
            </w:r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6ED9" w14:textId="77777777" w:rsidR="0078495C" w:rsidRDefault="0078495C" w:rsidP="0078495C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70B68475" w14:textId="230EED04" w:rsidR="0078495C" w:rsidRPr="0078495C" w:rsidRDefault="0078495C" w:rsidP="0078495C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8495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540 €</w:t>
            </w:r>
          </w:p>
          <w:p w14:paraId="3D4D664E" w14:textId="77777777" w:rsidR="005F632B" w:rsidRPr="004F7DD0" w:rsidRDefault="005F632B" w:rsidP="0078495C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F632B" w:rsidRPr="00D06E36" w14:paraId="18A91FA4" w14:textId="4743F58A" w:rsidTr="002D2A5F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BF47" w14:textId="77777777" w:rsidR="005F632B" w:rsidRPr="004F7DD0" w:rsidRDefault="005F632B" w:rsidP="001A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Group 3</w:t>
            </w:r>
          </w:p>
          <w:p w14:paraId="2420EA86" w14:textId="7D6FC712" w:rsidR="005F632B" w:rsidRPr="004F7DD0" w:rsidRDefault="005F632B" w:rsidP="001A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DD0">
              <w:rPr>
                <w:rFonts w:ascii="Times New Roman" w:hAnsi="Times New Roman" w:cs="Times New Roman"/>
                <w:b/>
                <w:sz w:val="24"/>
                <w:szCs w:val="24"/>
              </w:rPr>
              <w:t>Countries with lower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E774" w14:textId="4434EC22" w:rsidR="005F632B" w:rsidRPr="004F7DD0" w:rsidRDefault="005F632B" w:rsidP="00FA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Bulgaria, Croatia, Czech Republic, Estoni</w:t>
            </w:r>
            <w:r w:rsidR="00912359"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a, </w:t>
            </w:r>
            <w:r w:rsidR="00FA36D3"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Hungary, </w:t>
            </w:r>
            <w:r w:rsidR="00912359"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Latvia, Lithuania, </w:t>
            </w:r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Poland, Romania, Slovakia, Slovenia, </w:t>
            </w:r>
            <w:r w:rsidR="009444DF"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the Republic of </w:t>
            </w:r>
            <w:r w:rsidR="00D73ED3"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North</w:t>
            </w:r>
            <w:r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Macedonia, Turkey</w:t>
            </w:r>
            <w:r w:rsidR="00F37C3F" w:rsidRPr="004F7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Serbia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83BA" w14:textId="77777777" w:rsidR="005F632B" w:rsidRDefault="005F632B" w:rsidP="001A5E3D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0A8564EB" w14:textId="77777777" w:rsidR="0078495C" w:rsidRDefault="0078495C" w:rsidP="001A5E3D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1381CD3A" w14:textId="77777777" w:rsidR="0078495C" w:rsidRPr="0078495C" w:rsidRDefault="0078495C" w:rsidP="0078495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8495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490 €</w:t>
            </w:r>
          </w:p>
          <w:p w14:paraId="152F85D4" w14:textId="1AB77161" w:rsidR="0078495C" w:rsidRPr="004F7DD0" w:rsidRDefault="0078495C" w:rsidP="001A5E3D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118E0737" w14:textId="77777777" w:rsidR="005F632B" w:rsidRDefault="005F632B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BECEFE" w14:textId="1D29FED6" w:rsidR="0078495C" w:rsidRPr="000D2270" w:rsidRDefault="0078495C" w:rsidP="0072048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</w:rPr>
      </w:pPr>
      <w:bookmarkStart w:id="0" w:name="_GoBack"/>
      <w:bookmarkEnd w:id="0"/>
      <w:r w:rsidRPr="000D2270"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</w:rPr>
        <w:t>Region 14</w:t>
      </w:r>
      <w:r w:rsidRPr="000D2270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</w:rPr>
        <w:t xml:space="preserve"> Faroe Islands, Switzerland, United Kingdom</w:t>
      </w:r>
    </w:p>
    <w:p w14:paraId="6F2214E2" w14:textId="77777777" w:rsidR="0078495C" w:rsidRPr="000D2270" w:rsidRDefault="0078495C" w:rsidP="0072048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</w:rPr>
      </w:pPr>
    </w:p>
    <w:p w14:paraId="62A0C545" w14:textId="2860169E" w:rsidR="0078495C" w:rsidRPr="0078495C" w:rsidRDefault="0078495C" w:rsidP="0078495C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D2270"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</w:rPr>
        <w:t>Region 13</w:t>
      </w:r>
      <w:r w:rsidR="00CA4D4D" w:rsidRPr="000D2270"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</w:rPr>
        <w:t xml:space="preserve"> </w:t>
      </w:r>
      <w:r w:rsidRPr="000D2270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</w:rPr>
        <w:t>Andorra, Monaco, San Marino, Vatican City State</w:t>
      </w:r>
      <w:r w:rsidRPr="00CA4D4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38294A99" w14:textId="77777777" w:rsidR="0078495C" w:rsidRDefault="0078495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BCB390" w14:textId="77777777" w:rsidR="0078495C" w:rsidRDefault="0078495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CE218" w14:textId="231F8EF9" w:rsidR="006D1AF1" w:rsidRDefault="006D1AF1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8F1">
        <w:rPr>
          <w:rFonts w:ascii="Times New Roman" w:hAnsi="Times New Roman"/>
          <w:sz w:val="24"/>
          <w:szCs w:val="24"/>
        </w:rPr>
        <w:t>Th</w:t>
      </w:r>
      <w:r w:rsidR="00F9359C">
        <w:rPr>
          <w:rFonts w:ascii="Times New Roman" w:hAnsi="Times New Roman"/>
          <w:sz w:val="24"/>
          <w:szCs w:val="24"/>
        </w:rPr>
        <w:t>e</w:t>
      </w:r>
      <w:r w:rsidRPr="00D878F1">
        <w:rPr>
          <w:rFonts w:ascii="Times New Roman" w:hAnsi="Times New Roman"/>
          <w:sz w:val="24"/>
          <w:szCs w:val="24"/>
        </w:rPr>
        <w:t xml:space="preserve">se rates fixed by the National Agency or by the higher education institutions themselves (within the range) are </w:t>
      </w:r>
      <w:r w:rsidRPr="004125E7">
        <w:rPr>
          <w:rFonts w:ascii="Times New Roman" w:hAnsi="Times New Roman"/>
          <w:b/>
          <w:sz w:val="24"/>
          <w:szCs w:val="24"/>
          <w:u w:val="single"/>
        </w:rPr>
        <w:t>fixed</w:t>
      </w:r>
      <w:r w:rsidRPr="00D878F1">
        <w:rPr>
          <w:rFonts w:ascii="Times New Roman" w:hAnsi="Times New Roman"/>
          <w:sz w:val="24"/>
          <w:szCs w:val="24"/>
        </w:rPr>
        <w:t xml:space="preserve"> for the entire mobility project.</w:t>
      </w:r>
    </w:p>
    <w:p w14:paraId="4C0CE219" w14:textId="6EDABCA0" w:rsidR="004125E7" w:rsidRDefault="004125E7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8342CE" w14:textId="3EA6BC44" w:rsidR="008B4684" w:rsidRDefault="008B4684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8664AF" w14:textId="5E0D0F29" w:rsidR="00EE371D" w:rsidRDefault="00EE371D" w:rsidP="0072048B">
      <w:pPr>
        <w:spacing w:after="0" w:line="240" w:lineRule="auto"/>
        <w:rPr>
          <w:rFonts w:ascii="Times New Roman" w:hAnsi="Times New Roman"/>
          <w:b/>
          <w:sz w:val="24"/>
          <w:szCs w:val="24"/>
          <w:lang w:val="el-GR"/>
        </w:rPr>
      </w:pPr>
    </w:p>
    <w:p w14:paraId="360B8A9C" w14:textId="73D16008" w:rsidR="000D2270" w:rsidRDefault="000D2270" w:rsidP="0072048B">
      <w:pPr>
        <w:spacing w:after="0" w:line="240" w:lineRule="auto"/>
        <w:rPr>
          <w:rFonts w:ascii="Times New Roman" w:hAnsi="Times New Roman"/>
          <w:b/>
          <w:sz w:val="24"/>
          <w:szCs w:val="24"/>
          <w:lang w:val="el-GR"/>
        </w:rPr>
      </w:pPr>
    </w:p>
    <w:p w14:paraId="425DF92F" w14:textId="2A2D57AB" w:rsidR="000D2270" w:rsidRDefault="000D2270" w:rsidP="0072048B">
      <w:pPr>
        <w:spacing w:after="0" w:line="240" w:lineRule="auto"/>
        <w:rPr>
          <w:rFonts w:ascii="Times New Roman" w:hAnsi="Times New Roman"/>
          <w:b/>
          <w:sz w:val="24"/>
          <w:szCs w:val="24"/>
          <w:lang w:val="el-GR"/>
        </w:rPr>
      </w:pPr>
    </w:p>
    <w:p w14:paraId="2888FB90" w14:textId="2A277EE2" w:rsidR="000D2270" w:rsidRDefault="000D2270" w:rsidP="0072048B">
      <w:pPr>
        <w:spacing w:after="0" w:line="240" w:lineRule="auto"/>
        <w:rPr>
          <w:rFonts w:ascii="Times New Roman" w:hAnsi="Times New Roman"/>
          <w:b/>
          <w:sz w:val="24"/>
          <w:szCs w:val="24"/>
          <w:lang w:val="el-GR"/>
        </w:rPr>
      </w:pPr>
    </w:p>
    <w:p w14:paraId="483B6716" w14:textId="29EE9FAB" w:rsidR="000D2270" w:rsidRDefault="000D2270" w:rsidP="0072048B">
      <w:pPr>
        <w:spacing w:after="0" w:line="240" w:lineRule="auto"/>
        <w:rPr>
          <w:rFonts w:ascii="Times New Roman" w:hAnsi="Times New Roman"/>
          <w:b/>
          <w:sz w:val="24"/>
          <w:szCs w:val="24"/>
          <w:lang w:val="el-GR"/>
        </w:rPr>
      </w:pPr>
    </w:p>
    <w:p w14:paraId="42703372" w14:textId="65726B76" w:rsidR="000D2270" w:rsidRDefault="000D2270" w:rsidP="0072048B">
      <w:pPr>
        <w:spacing w:after="0" w:line="240" w:lineRule="auto"/>
        <w:rPr>
          <w:rFonts w:ascii="Times New Roman" w:hAnsi="Times New Roman"/>
          <w:b/>
          <w:sz w:val="24"/>
          <w:szCs w:val="24"/>
          <w:lang w:val="el-GR"/>
        </w:rPr>
      </w:pPr>
    </w:p>
    <w:p w14:paraId="71917FE8" w14:textId="77777777" w:rsidR="000D2270" w:rsidRPr="00EE371D" w:rsidRDefault="000D2270" w:rsidP="0072048B">
      <w:pPr>
        <w:spacing w:after="0" w:line="240" w:lineRule="auto"/>
        <w:rPr>
          <w:rFonts w:ascii="Times New Roman" w:hAnsi="Times New Roman"/>
          <w:b/>
          <w:sz w:val="24"/>
          <w:szCs w:val="24"/>
          <w:lang w:val="el-GR"/>
        </w:rPr>
      </w:pPr>
    </w:p>
    <w:p w14:paraId="0DC6902E" w14:textId="77777777" w:rsidR="00EE371D" w:rsidRPr="00EE371D" w:rsidRDefault="00EE371D" w:rsidP="0072048B">
      <w:pPr>
        <w:spacing w:after="0" w:line="240" w:lineRule="auto"/>
        <w:rPr>
          <w:rFonts w:ascii="Times New Roman" w:hAnsi="Times New Roman"/>
          <w:b/>
          <w:sz w:val="24"/>
          <w:szCs w:val="24"/>
          <w:lang w:val="el-GR"/>
        </w:rPr>
      </w:pPr>
    </w:p>
    <w:p w14:paraId="6C86FFDB" w14:textId="005708D9" w:rsidR="009121EA" w:rsidRDefault="009121EA" w:rsidP="009121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Base amount for long-term s</w:t>
      </w:r>
      <w:r w:rsidRPr="00D878F1">
        <w:rPr>
          <w:rFonts w:ascii="Times New Roman" w:hAnsi="Times New Roman"/>
          <w:b/>
          <w:sz w:val="24"/>
          <w:szCs w:val="24"/>
        </w:rPr>
        <w:t xml:space="preserve">tudent mobility for studies </w:t>
      </w:r>
      <w:r>
        <w:rPr>
          <w:rFonts w:ascii="Times New Roman" w:hAnsi="Times New Roman"/>
          <w:b/>
          <w:sz w:val="24"/>
          <w:szCs w:val="24"/>
        </w:rPr>
        <w:t>and traineeships to and from third countries not as</w:t>
      </w:r>
      <w:r w:rsidR="00254A05">
        <w:rPr>
          <w:rFonts w:ascii="Times New Roman" w:hAnsi="Times New Roman"/>
          <w:b/>
          <w:sz w:val="24"/>
          <w:szCs w:val="24"/>
        </w:rPr>
        <w:t>sociated to the P</w:t>
      </w:r>
      <w:r>
        <w:rPr>
          <w:rFonts w:ascii="Times New Roman" w:hAnsi="Times New Roman"/>
          <w:b/>
          <w:sz w:val="24"/>
          <w:szCs w:val="24"/>
        </w:rPr>
        <w:t>rogramme from R</w:t>
      </w:r>
      <w:r w:rsidR="00254A05">
        <w:rPr>
          <w:rFonts w:ascii="Times New Roman" w:hAnsi="Times New Roman"/>
          <w:b/>
          <w:sz w:val="24"/>
          <w:szCs w:val="24"/>
        </w:rPr>
        <w:t>egion</w:t>
      </w:r>
      <w:r>
        <w:rPr>
          <w:rFonts w:ascii="Times New Roman" w:hAnsi="Times New Roman"/>
          <w:b/>
          <w:sz w:val="24"/>
          <w:szCs w:val="24"/>
        </w:rPr>
        <w:t xml:space="preserve"> 1 to 12, including</w:t>
      </w:r>
      <w:r w:rsidRPr="00D878F1">
        <w:rPr>
          <w:rFonts w:ascii="Times New Roman" w:hAnsi="Times New Roman"/>
          <w:b/>
          <w:sz w:val="24"/>
          <w:szCs w:val="24"/>
        </w:rPr>
        <w:t xml:space="preserve"> for students from outermost regions</w:t>
      </w:r>
      <w:r>
        <w:rPr>
          <w:rFonts w:ascii="Times New Roman" w:hAnsi="Times New Roman"/>
          <w:b/>
          <w:sz w:val="24"/>
          <w:szCs w:val="24"/>
        </w:rPr>
        <w:t xml:space="preserve"> and </w:t>
      </w:r>
      <w:r w:rsidRPr="00AB45F7">
        <w:rPr>
          <w:rFonts w:ascii="Times New Roman" w:hAnsi="Times New Roman"/>
          <w:b/>
          <w:sz w:val="24"/>
          <w:szCs w:val="24"/>
        </w:rPr>
        <w:t>Overseas Countries and Territories</w:t>
      </w:r>
    </w:p>
    <w:p w14:paraId="25FB1A51" w14:textId="1CCE5914" w:rsidR="004F7DD0" w:rsidRDefault="004F7DD0" w:rsidP="004F7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24EF5F" w14:textId="48991748" w:rsidR="009121EA" w:rsidRDefault="009121EA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3024"/>
        <w:gridCol w:w="3013"/>
      </w:tblGrid>
      <w:tr w:rsidR="004627CE" w:rsidRPr="004627CE" w14:paraId="17E9E36E" w14:textId="77777777" w:rsidTr="004627CE">
        <w:tc>
          <w:tcPr>
            <w:tcW w:w="3096" w:type="dxa"/>
          </w:tcPr>
          <w:p w14:paraId="4D5A0FF2" w14:textId="521C9A7B" w:rsidR="004627CE" w:rsidRPr="004627CE" w:rsidRDefault="004627CE" w:rsidP="004F7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7CE">
              <w:rPr>
                <w:rFonts w:ascii="Times New Roman" w:hAnsi="Times New Roman"/>
                <w:b/>
                <w:sz w:val="24"/>
                <w:szCs w:val="24"/>
              </w:rPr>
              <w:t>Mobility from sending country</w:t>
            </w:r>
          </w:p>
        </w:tc>
        <w:tc>
          <w:tcPr>
            <w:tcW w:w="3096" w:type="dxa"/>
          </w:tcPr>
          <w:p w14:paraId="1322963A" w14:textId="35F28866" w:rsidR="004627CE" w:rsidRPr="004627CE" w:rsidRDefault="004627CE" w:rsidP="004F7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7CE">
              <w:rPr>
                <w:rFonts w:ascii="Times New Roman" w:hAnsi="Times New Roman"/>
                <w:b/>
                <w:sz w:val="24"/>
                <w:szCs w:val="24"/>
              </w:rPr>
              <w:t>To receiving country</w:t>
            </w:r>
          </w:p>
        </w:tc>
        <w:tc>
          <w:tcPr>
            <w:tcW w:w="3096" w:type="dxa"/>
          </w:tcPr>
          <w:p w14:paraId="30E9E458" w14:textId="513FBD89" w:rsidR="004627CE" w:rsidRPr="004627CE" w:rsidRDefault="004627CE" w:rsidP="004F7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7CE">
              <w:rPr>
                <w:rFonts w:ascii="Times New Roman" w:hAnsi="Times New Roman"/>
                <w:b/>
                <w:sz w:val="24"/>
                <w:szCs w:val="24"/>
              </w:rPr>
              <w:t>Amount</w:t>
            </w:r>
          </w:p>
        </w:tc>
      </w:tr>
      <w:tr w:rsidR="004627CE" w14:paraId="38FFDD5F" w14:textId="77777777" w:rsidTr="004627CE">
        <w:tc>
          <w:tcPr>
            <w:tcW w:w="3096" w:type="dxa"/>
          </w:tcPr>
          <w:p w14:paraId="05280E86" w14:textId="77777777" w:rsidR="004627CE" w:rsidRPr="004F7DD0" w:rsidRDefault="004627CE" w:rsidP="004627CE">
            <w:pPr>
              <w:rPr>
                <w:rFonts w:ascii="Times New Roman" w:hAnsi="Times New Roman"/>
                <w:sz w:val="24"/>
                <w:szCs w:val="24"/>
              </w:rPr>
            </w:pPr>
            <w:r w:rsidRPr="004F7DD0">
              <w:rPr>
                <w:rFonts w:ascii="Times New Roman" w:hAnsi="Times New Roman"/>
                <w:sz w:val="24"/>
                <w:szCs w:val="24"/>
              </w:rPr>
              <w:t xml:space="preserve">EU Member States and third </w:t>
            </w:r>
          </w:p>
          <w:p w14:paraId="6CC1EEDD" w14:textId="77777777" w:rsidR="004627CE" w:rsidRPr="004F7DD0" w:rsidRDefault="004627CE" w:rsidP="004627CE">
            <w:pPr>
              <w:rPr>
                <w:rFonts w:ascii="Times New Roman" w:hAnsi="Times New Roman"/>
                <w:sz w:val="24"/>
                <w:szCs w:val="24"/>
              </w:rPr>
            </w:pPr>
            <w:r w:rsidRPr="004F7DD0">
              <w:rPr>
                <w:rFonts w:ascii="Times New Roman" w:hAnsi="Times New Roman"/>
                <w:sz w:val="24"/>
                <w:szCs w:val="24"/>
              </w:rPr>
              <w:t xml:space="preserve">countries associated to the </w:t>
            </w:r>
          </w:p>
          <w:p w14:paraId="02C6B62D" w14:textId="66F5795D" w:rsidR="004627CE" w:rsidRPr="004F7DD0" w:rsidRDefault="004627CE" w:rsidP="004627CE">
            <w:pPr>
              <w:rPr>
                <w:rFonts w:ascii="Times New Roman" w:hAnsi="Times New Roman"/>
                <w:sz w:val="24"/>
                <w:szCs w:val="24"/>
              </w:rPr>
            </w:pPr>
            <w:r w:rsidRPr="004F7DD0">
              <w:rPr>
                <w:rFonts w:ascii="Times New Roman" w:hAnsi="Times New Roman"/>
                <w:sz w:val="24"/>
                <w:szCs w:val="24"/>
              </w:rPr>
              <w:t>Programme</w:t>
            </w:r>
          </w:p>
        </w:tc>
        <w:tc>
          <w:tcPr>
            <w:tcW w:w="3096" w:type="dxa"/>
          </w:tcPr>
          <w:p w14:paraId="009D677C" w14:textId="77777777" w:rsidR="004627CE" w:rsidRPr="004F7DD0" w:rsidRDefault="004627CE" w:rsidP="004627CE">
            <w:pPr>
              <w:rPr>
                <w:rFonts w:ascii="Times New Roman" w:hAnsi="Times New Roman"/>
                <w:sz w:val="24"/>
                <w:szCs w:val="24"/>
              </w:rPr>
            </w:pPr>
            <w:r w:rsidRPr="004F7DD0">
              <w:rPr>
                <w:rFonts w:ascii="Times New Roman" w:hAnsi="Times New Roman"/>
                <w:sz w:val="24"/>
                <w:szCs w:val="24"/>
              </w:rPr>
              <w:t xml:space="preserve">Third countries not associated to the </w:t>
            </w:r>
          </w:p>
          <w:p w14:paraId="1C478D34" w14:textId="7C642A5E" w:rsidR="004627CE" w:rsidRPr="004F7DD0" w:rsidRDefault="00254A05" w:rsidP="00462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Programme from Region</w:t>
            </w:r>
            <w:r w:rsidR="004627CE" w:rsidRPr="004F7DD0">
              <w:rPr>
                <w:rFonts w:ascii="Times New Roman" w:hAnsi="Times New Roman"/>
                <w:sz w:val="24"/>
                <w:szCs w:val="24"/>
              </w:rPr>
              <w:t xml:space="preserve"> 1-12</w:t>
            </w:r>
          </w:p>
        </w:tc>
        <w:tc>
          <w:tcPr>
            <w:tcW w:w="3096" w:type="dxa"/>
          </w:tcPr>
          <w:p w14:paraId="389E9ABE" w14:textId="77777777" w:rsidR="004627CE" w:rsidRPr="004F7DD0" w:rsidRDefault="004627CE" w:rsidP="004627CE">
            <w:pPr>
              <w:rPr>
                <w:rFonts w:ascii="Times New Roman" w:hAnsi="Times New Roman"/>
                <w:sz w:val="24"/>
                <w:szCs w:val="24"/>
              </w:rPr>
            </w:pPr>
            <w:r w:rsidRPr="004F7DD0">
              <w:rPr>
                <w:rFonts w:ascii="Times New Roman" w:hAnsi="Times New Roman"/>
                <w:sz w:val="24"/>
                <w:szCs w:val="24"/>
              </w:rPr>
              <w:t>700 EUR per month</w:t>
            </w:r>
          </w:p>
          <w:p w14:paraId="0000C7DB" w14:textId="77777777" w:rsidR="004627CE" w:rsidRPr="004F7DD0" w:rsidRDefault="004627CE" w:rsidP="00720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7CE" w14:paraId="51F2A09C" w14:textId="77777777" w:rsidTr="004627CE">
        <w:tc>
          <w:tcPr>
            <w:tcW w:w="3096" w:type="dxa"/>
            <w:vMerge w:val="restart"/>
          </w:tcPr>
          <w:p w14:paraId="1DFCAA4D" w14:textId="77777777" w:rsidR="004627CE" w:rsidRPr="004F7DD0" w:rsidRDefault="004627CE" w:rsidP="004627CE">
            <w:pPr>
              <w:rPr>
                <w:rFonts w:ascii="Times New Roman" w:hAnsi="Times New Roman"/>
                <w:sz w:val="24"/>
                <w:szCs w:val="24"/>
              </w:rPr>
            </w:pPr>
            <w:r w:rsidRPr="004F7DD0">
              <w:rPr>
                <w:rFonts w:ascii="Times New Roman" w:hAnsi="Times New Roman"/>
                <w:sz w:val="24"/>
                <w:szCs w:val="24"/>
              </w:rPr>
              <w:t xml:space="preserve">Third countries not associated to the </w:t>
            </w:r>
          </w:p>
          <w:p w14:paraId="4ADC63EC" w14:textId="67681D7D" w:rsidR="004627CE" w:rsidRPr="004F7DD0" w:rsidRDefault="00254A05" w:rsidP="00462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Programme from Region</w:t>
            </w:r>
            <w:r w:rsidR="004627CE" w:rsidRPr="004F7DD0">
              <w:rPr>
                <w:rFonts w:ascii="Times New Roman" w:hAnsi="Times New Roman"/>
                <w:sz w:val="24"/>
                <w:szCs w:val="24"/>
              </w:rPr>
              <w:t xml:space="preserve"> 1-12</w:t>
            </w:r>
          </w:p>
        </w:tc>
        <w:tc>
          <w:tcPr>
            <w:tcW w:w="3096" w:type="dxa"/>
          </w:tcPr>
          <w:p w14:paraId="03F23745" w14:textId="31F9BDCA" w:rsidR="004627CE" w:rsidRPr="004F7DD0" w:rsidRDefault="004627CE" w:rsidP="004627CE">
            <w:pPr>
              <w:rPr>
                <w:rFonts w:ascii="Times New Roman" w:hAnsi="Times New Roman"/>
                <w:sz w:val="24"/>
                <w:szCs w:val="24"/>
              </w:rPr>
            </w:pPr>
            <w:r w:rsidRPr="004F7DD0">
              <w:rPr>
                <w:rFonts w:ascii="Times New Roman" w:hAnsi="Times New Roman"/>
                <w:sz w:val="24"/>
                <w:szCs w:val="24"/>
              </w:rPr>
              <w:t>Group 1 of EU Member States and third countries associated to the Programme</w:t>
            </w:r>
          </w:p>
        </w:tc>
        <w:tc>
          <w:tcPr>
            <w:tcW w:w="3096" w:type="dxa"/>
          </w:tcPr>
          <w:p w14:paraId="5D2E5056" w14:textId="77777777" w:rsidR="004627CE" w:rsidRPr="004F7DD0" w:rsidRDefault="004627CE" w:rsidP="004627CE">
            <w:pPr>
              <w:rPr>
                <w:rFonts w:ascii="Times New Roman" w:hAnsi="Times New Roman"/>
                <w:sz w:val="24"/>
                <w:szCs w:val="24"/>
              </w:rPr>
            </w:pPr>
            <w:r w:rsidRPr="004F7DD0">
              <w:rPr>
                <w:rFonts w:ascii="Times New Roman" w:hAnsi="Times New Roman"/>
                <w:sz w:val="24"/>
                <w:szCs w:val="24"/>
              </w:rPr>
              <w:t>900 EUR per month</w:t>
            </w:r>
          </w:p>
          <w:p w14:paraId="7E3F0012" w14:textId="77777777" w:rsidR="004627CE" w:rsidRPr="004F7DD0" w:rsidRDefault="004627CE" w:rsidP="00720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7CE" w14:paraId="736366B8" w14:textId="77777777" w:rsidTr="004627CE">
        <w:tc>
          <w:tcPr>
            <w:tcW w:w="3096" w:type="dxa"/>
            <w:vMerge/>
          </w:tcPr>
          <w:p w14:paraId="64085411" w14:textId="77777777" w:rsidR="004627CE" w:rsidRPr="004F7DD0" w:rsidRDefault="004627CE" w:rsidP="00720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E8DF063" w14:textId="64C9EF99" w:rsidR="004627CE" w:rsidRPr="004F7DD0" w:rsidRDefault="004627CE" w:rsidP="004627CE">
            <w:pPr>
              <w:rPr>
                <w:rFonts w:ascii="Times New Roman" w:hAnsi="Times New Roman"/>
                <w:sz w:val="24"/>
                <w:szCs w:val="24"/>
              </w:rPr>
            </w:pPr>
            <w:r w:rsidRPr="004F7DD0">
              <w:rPr>
                <w:rFonts w:ascii="Times New Roman" w:hAnsi="Times New Roman"/>
                <w:sz w:val="24"/>
                <w:szCs w:val="24"/>
              </w:rPr>
              <w:t>Group 2 of EU Member States and third countries associated to the Programme</w:t>
            </w:r>
          </w:p>
        </w:tc>
        <w:tc>
          <w:tcPr>
            <w:tcW w:w="3096" w:type="dxa"/>
          </w:tcPr>
          <w:p w14:paraId="0E931E22" w14:textId="77777777" w:rsidR="004627CE" w:rsidRPr="004F7DD0" w:rsidRDefault="004627CE" w:rsidP="004627CE">
            <w:pPr>
              <w:rPr>
                <w:rFonts w:ascii="Times New Roman" w:hAnsi="Times New Roman"/>
                <w:sz w:val="24"/>
                <w:szCs w:val="24"/>
              </w:rPr>
            </w:pPr>
            <w:r w:rsidRPr="004F7DD0">
              <w:rPr>
                <w:rFonts w:ascii="Times New Roman" w:hAnsi="Times New Roman"/>
                <w:sz w:val="24"/>
                <w:szCs w:val="24"/>
              </w:rPr>
              <w:t>850 EUR per month</w:t>
            </w:r>
          </w:p>
          <w:p w14:paraId="164BC223" w14:textId="77777777" w:rsidR="004627CE" w:rsidRPr="004F7DD0" w:rsidRDefault="004627CE" w:rsidP="00720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7CE" w14:paraId="161059A9" w14:textId="77777777" w:rsidTr="004627CE">
        <w:tc>
          <w:tcPr>
            <w:tcW w:w="3096" w:type="dxa"/>
            <w:vMerge/>
          </w:tcPr>
          <w:p w14:paraId="47688EEA" w14:textId="77777777" w:rsidR="004627CE" w:rsidRDefault="004627CE" w:rsidP="007204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14:paraId="113F7A68" w14:textId="3649EB09" w:rsidR="004627CE" w:rsidRPr="004F7DD0" w:rsidRDefault="004627CE" w:rsidP="0072048B">
            <w:pPr>
              <w:rPr>
                <w:rFonts w:ascii="Times New Roman" w:hAnsi="Times New Roman"/>
                <w:sz w:val="24"/>
                <w:szCs w:val="24"/>
              </w:rPr>
            </w:pPr>
            <w:r w:rsidRPr="004F7DD0">
              <w:rPr>
                <w:rFonts w:ascii="Times New Roman" w:hAnsi="Times New Roman"/>
                <w:sz w:val="24"/>
                <w:szCs w:val="24"/>
              </w:rPr>
              <w:t xml:space="preserve">Group 3 of EU Member States and third countries associated to the </w:t>
            </w:r>
            <w:r w:rsidRPr="004627CE">
              <w:rPr>
                <w:rFonts w:ascii="Times New Roman" w:hAnsi="Times New Roman"/>
                <w:sz w:val="24"/>
                <w:szCs w:val="24"/>
              </w:rPr>
              <w:t>Programme</w:t>
            </w:r>
          </w:p>
        </w:tc>
        <w:tc>
          <w:tcPr>
            <w:tcW w:w="3096" w:type="dxa"/>
          </w:tcPr>
          <w:p w14:paraId="164A55E5" w14:textId="77777777" w:rsidR="004627CE" w:rsidRPr="004F7DD0" w:rsidRDefault="004627CE" w:rsidP="004627CE">
            <w:pPr>
              <w:rPr>
                <w:rFonts w:ascii="Times New Roman" w:hAnsi="Times New Roman"/>
                <w:sz w:val="24"/>
                <w:szCs w:val="24"/>
              </w:rPr>
            </w:pPr>
            <w:r w:rsidRPr="004F7DD0">
              <w:rPr>
                <w:rFonts w:ascii="Times New Roman" w:hAnsi="Times New Roman"/>
                <w:sz w:val="24"/>
                <w:szCs w:val="24"/>
              </w:rPr>
              <w:t>800 EUR per month</w:t>
            </w:r>
          </w:p>
          <w:p w14:paraId="4B47A1A0" w14:textId="77777777" w:rsidR="004627CE" w:rsidRPr="004F7DD0" w:rsidRDefault="004627CE" w:rsidP="00720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BE818E" w14:textId="77777777" w:rsidR="004627CE" w:rsidRDefault="004627CE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BB232C" w14:textId="77777777" w:rsidR="009121EA" w:rsidRPr="004F7DD0" w:rsidRDefault="009121EA" w:rsidP="00912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DD0">
        <w:rPr>
          <w:rFonts w:ascii="Times New Roman" w:hAnsi="Times New Roman"/>
          <w:sz w:val="24"/>
          <w:szCs w:val="24"/>
        </w:rPr>
        <w:t>The top-up amount for students and recent graduates with fewer opportunities will apply in this case.</w:t>
      </w:r>
    </w:p>
    <w:p w14:paraId="42F5F641" w14:textId="2018C665" w:rsidR="009121EA" w:rsidRPr="004F7DD0" w:rsidRDefault="009121EA" w:rsidP="00912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DD0">
        <w:rPr>
          <w:rFonts w:ascii="Times New Roman" w:hAnsi="Times New Roman"/>
          <w:sz w:val="24"/>
          <w:szCs w:val="24"/>
        </w:rPr>
        <w:t xml:space="preserve">The top-up amount for traineeships will apply only in the case of mobility to third countries not associated to the </w:t>
      </w:r>
      <w:r w:rsidR="00254A05">
        <w:rPr>
          <w:rFonts w:ascii="Times New Roman" w:hAnsi="Times New Roman"/>
          <w:sz w:val="24"/>
          <w:szCs w:val="24"/>
        </w:rPr>
        <w:t>Programme from Region</w:t>
      </w:r>
      <w:r w:rsidRPr="004F7DD0">
        <w:rPr>
          <w:rFonts w:ascii="Times New Roman" w:hAnsi="Times New Roman"/>
          <w:sz w:val="24"/>
          <w:szCs w:val="24"/>
        </w:rPr>
        <w:t xml:space="preserve"> 13 and 14. </w:t>
      </w:r>
    </w:p>
    <w:p w14:paraId="7586CC76" w14:textId="70F4FFCA" w:rsidR="009121EA" w:rsidRPr="004F7DD0" w:rsidRDefault="009121EA" w:rsidP="00912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DD0">
        <w:rPr>
          <w:rFonts w:ascii="Times New Roman" w:hAnsi="Times New Roman"/>
          <w:sz w:val="24"/>
          <w:szCs w:val="24"/>
        </w:rPr>
        <w:t>The EU Member States and third countries associated to the Programme include outermost regions and OCTs.</w:t>
      </w:r>
    </w:p>
    <w:p w14:paraId="5B6232CB" w14:textId="77777777" w:rsidR="009121EA" w:rsidRPr="00D878F1" w:rsidRDefault="009121EA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C4FAEF" w14:textId="77777777" w:rsidR="008B4684" w:rsidRPr="008B4684" w:rsidRDefault="00914C6B" w:rsidP="00B000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4E22">
        <w:rPr>
          <w:rFonts w:ascii="Times New Roman" w:hAnsi="Times New Roman"/>
          <w:b/>
          <w:sz w:val="24"/>
          <w:szCs w:val="24"/>
        </w:rPr>
        <w:t>[</w:t>
      </w:r>
      <w:r w:rsidRPr="004F7DD0">
        <w:rPr>
          <w:rFonts w:ascii="Times New Roman" w:hAnsi="Times New Roman"/>
          <w:sz w:val="24"/>
          <w:szCs w:val="24"/>
          <w:highlight w:val="cyan"/>
        </w:rPr>
        <w:t>Only applicable to KA131</w:t>
      </w:r>
      <w:r w:rsidRPr="00FA4E22">
        <w:rPr>
          <w:rFonts w:ascii="Times New Roman" w:hAnsi="Times New Roman"/>
          <w:b/>
          <w:sz w:val="24"/>
          <w:szCs w:val="24"/>
        </w:rPr>
        <w:t xml:space="preserve">] </w:t>
      </w:r>
      <w:r w:rsidR="004636C5">
        <w:rPr>
          <w:rFonts w:ascii="Times New Roman" w:hAnsi="Times New Roman"/>
          <w:b/>
          <w:sz w:val="24"/>
          <w:szCs w:val="24"/>
        </w:rPr>
        <w:t>Long-term s</w:t>
      </w:r>
      <w:r w:rsidR="006D1AF1" w:rsidRPr="00D878F1">
        <w:rPr>
          <w:rFonts w:ascii="Times New Roman" w:hAnsi="Times New Roman"/>
          <w:b/>
          <w:sz w:val="24"/>
          <w:szCs w:val="24"/>
        </w:rPr>
        <w:t>tudent mobility for traineeships</w:t>
      </w:r>
      <w:r w:rsidR="004636C5" w:rsidRPr="004636C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="004636C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to </w:t>
      </w:r>
      <w:r w:rsidR="004636C5" w:rsidRPr="004F7DD0">
        <w:rPr>
          <w:rFonts w:ascii="Times New Roman" w:hAnsi="Times New Roman"/>
          <w:sz w:val="24"/>
          <w:szCs w:val="24"/>
        </w:rPr>
        <w:t>EU Member States and third countries associated to the Programme and third countries not associat</w:t>
      </w:r>
      <w:r w:rsidR="005B689F">
        <w:rPr>
          <w:rFonts w:ascii="Times New Roman" w:hAnsi="Times New Roman"/>
          <w:sz w:val="24"/>
          <w:szCs w:val="24"/>
        </w:rPr>
        <w:t>ed to the Programme from Region</w:t>
      </w:r>
      <w:r w:rsidR="004636C5" w:rsidRPr="004F7DD0">
        <w:rPr>
          <w:rFonts w:ascii="Times New Roman" w:hAnsi="Times New Roman"/>
          <w:sz w:val="24"/>
          <w:szCs w:val="24"/>
        </w:rPr>
        <w:t xml:space="preserve"> 13 and 14</w:t>
      </w:r>
      <w:r w:rsidR="006D1AF1" w:rsidRPr="004F7DD0">
        <w:rPr>
          <w:rFonts w:ascii="Times New Roman" w:hAnsi="Times New Roman"/>
          <w:sz w:val="24"/>
          <w:szCs w:val="24"/>
        </w:rPr>
        <w:t>:</w:t>
      </w:r>
      <w:r w:rsidR="006D1AF1" w:rsidRPr="00D878F1">
        <w:rPr>
          <w:rFonts w:ascii="Times New Roman" w:hAnsi="Times New Roman"/>
          <w:b/>
          <w:sz w:val="24"/>
          <w:szCs w:val="24"/>
        </w:rPr>
        <w:t xml:space="preserve"> </w:t>
      </w:r>
      <w:r w:rsidR="006D1AF1" w:rsidRPr="00D878F1">
        <w:rPr>
          <w:rFonts w:ascii="Times New Roman" w:hAnsi="Times New Roman"/>
          <w:sz w:val="24"/>
          <w:szCs w:val="24"/>
        </w:rPr>
        <w:t>additional top-up</w:t>
      </w:r>
      <w:r w:rsidR="00FA4E22">
        <w:rPr>
          <w:rFonts w:ascii="Times New Roman" w:hAnsi="Times New Roman"/>
          <w:sz w:val="24"/>
          <w:szCs w:val="24"/>
        </w:rPr>
        <w:t xml:space="preserve"> amount to the individual support</w:t>
      </w:r>
      <w:r w:rsidR="004636C5">
        <w:rPr>
          <w:rFonts w:ascii="Times New Roman" w:hAnsi="Times New Roman"/>
          <w:sz w:val="24"/>
          <w:szCs w:val="24"/>
        </w:rPr>
        <w:t xml:space="preserve"> base amount</w:t>
      </w:r>
      <w:r w:rsidR="006D1AF1" w:rsidRPr="00D878F1">
        <w:rPr>
          <w:rFonts w:ascii="Times New Roman" w:hAnsi="Times New Roman"/>
          <w:sz w:val="24"/>
          <w:szCs w:val="24"/>
        </w:rPr>
        <w:t xml:space="preserve"> of</w:t>
      </w:r>
      <w:r w:rsidR="00FA4E22">
        <w:rPr>
          <w:rFonts w:ascii="Times New Roman" w:hAnsi="Times New Roman"/>
          <w:sz w:val="24"/>
          <w:szCs w:val="24"/>
        </w:rPr>
        <w:t xml:space="preserve"> </w:t>
      </w:r>
      <w:r w:rsidR="00FA4E22">
        <w:rPr>
          <w:rFonts w:ascii="Times New Roman" w:hAnsi="Times New Roman"/>
          <w:b/>
          <w:sz w:val="24"/>
          <w:szCs w:val="24"/>
        </w:rPr>
        <w:t>150 EUR per month.</w:t>
      </w:r>
      <w:r w:rsidR="00FA4E22" w:rsidRPr="00FA4E22">
        <w:t xml:space="preserve"> </w:t>
      </w:r>
    </w:p>
    <w:p w14:paraId="4C0CE22D" w14:textId="6BE881B5" w:rsidR="006D1AF1" w:rsidRPr="00D878F1" w:rsidRDefault="00FA4E22" w:rsidP="00B000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00DD">
        <w:rPr>
          <w:rFonts w:ascii="Times New Roman" w:hAnsi="Times New Roman"/>
          <w:sz w:val="24"/>
          <w:szCs w:val="24"/>
        </w:rPr>
        <w:t>Students and recent graduates with fewer opportunities who take part in traineeships are entitled to receive the top-up amount for students and recent graduates with fewer opportunities and the top-up amount for traineeships.</w:t>
      </w:r>
    </w:p>
    <w:p w14:paraId="432595FD" w14:textId="386AD81C" w:rsidR="004636C5" w:rsidRPr="004F7DD0" w:rsidRDefault="004636C5" w:rsidP="004216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Long-term </w:t>
      </w:r>
      <w:r w:rsidR="00D06E36">
        <w:rPr>
          <w:rFonts w:ascii="Times New Roman" w:hAnsi="Times New Roman"/>
          <w:b/>
          <w:sz w:val="24"/>
          <w:szCs w:val="24"/>
        </w:rPr>
        <w:t xml:space="preserve">student </w:t>
      </w:r>
      <w:r>
        <w:rPr>
          <w:rFonts w:ascii="Times New Roman" w:hAnsi="Times New Roman"/>
          <w:b/>
          <w:sz w:val="24"/>
          <w:szCs w:val="24"/>
        </w:rPr>
        <w:t>mobility of s</w:t>
      </w:r>
      <w:r w:rsidR="006D1AF1" w:rsidRPr="00FA4E22">
        <w:rPr>
          <w:rFonts w:ascii="Times New Roman" w:hAnsi="Times New Roman"/>
          <w:b/>
          <w:sz w:val="24"/>
          <w:szCs w:val="24"/>
        </w:rPr>
        <w:t xml:space="preserve">tudents </w:t>
      </w:r>
      <w:r w:rsidR="00421696">
        <w:rPr>
          <w:rFonts w:ascii="Times New Roman" w:hAnsi="Times New Roman"/>
          <w:b/>
          <w:sz w:val="24"/>
          <w:szCs w:val="24"/>
        </w:rPr>
        <w:t xml:space="preserve">and recent graduates with fewer </w:t>
      </w:r>
      <w:r w:rsidR="00B7716A" w:rsidRPr="00FA4E22">
        <w:rPr>
          <w:rFonts w:ascii="Times New Roman" w:hAnsi="Times New Roman"/>
          <w:b/>
          <w:sz w:val="24"/>
          <w:szCs w:val="24"/>
        </w:rPr>
        <w:t>opportunities</w:t>
      </w:r>
      <w:r w:rsidR="00FA4E22">
        <w:rPr>
          <w:rFonts w:ascii="Times New Roman" w:hAnsi="Times New Roman"/>
          <w:b/>
          <w:sz w:val="24"/>
          <w:szCs w:val="24"/>
        </w:rPr>
        <w:t>:</w:t>
      </w:r>
      <w:r w:rsidR="00B7716A" w:rsidRPr="00FA4E22">
        <w:rPr>
          <w:rFonts w:ascii="Times New Roman" w:hAnsi="Times New Roman"/>
          <w:b/>
          <w:sz w:val="24"/>
          <w:szCs w:val="24"/>
        </w:rPr>
        <w:t xml:space="preserve"> </w:t>
      </w:r>
      <w:r w:rsidR="006D1AF1" w:rsidRPr="00FA4E22">
        <w:rPr>
          <w:rFonts w:ascii="Times New Roman" w:hAnsi="Times New Roman"/>
          <w:sz w:val="24"/>
          <w:szCs w:val="24"/>
        </w:rPr>
        <w:t xml:space="preserve">additional top-up </w:t>
      </w:r>
      <w:r w:rsidR="005B689F">
        <w:rPr>
          <w:rFonts w:ascii="Times New Roman" w:hAnsi="Times New Roman"/>
          <w:sz w:val="24"/>
          <w:szCs w:val="24"/>
        </w:rPr>
        <w:t xml:space="preserve">amount </w:t>
      </w:r>
      <w:r w:rsidR="00FA4E22" w:rsidRPr="00FA4E22">
        <w:rPr>
          <w:rFonts w:ascii="Times New Roman" w:hAnsi="Times New Roman"/>
          <w:sz w:val="24"/>
          <w:szCs w:val="24"/>
        </w:rPr>
        <w:t xml:space="preserve">to the individual support </w:t>
      </w:r>
      <w:r>
        <w:rPr>
          <w:rFonts w:ascii="Times New Roman" w:hAnsi="Times New Roman"/>
          <w:sz w:val="24"/>
          <w:szCs w:val="24"/>
        </w:rPr>
        <w:t xml:space="preserve">base amount </w:t>
      </w:r>
      <w:r w:rsidR="006D1AF1" w:rsidRPr="00FA4E22">
        <w:rPr>
          <w:rFonts w:ascii="Times New Roman" w:eastAsia="Times New Roman" w:hAnsi="Times New Roman"/>
          <w:snapToGrid w:val="0"/>
          <w:kern w:val="3"/>
          <w:sz w:val="24"/>
          <w:szCs w:val="24"/>
          <w:lang w:eastAsia="zh-CN"/>
        </w:rPr>
        <w:t xml:space="preserve">of </w:t>
      </w:r>
      <w:r w:rsidR="00FA4E22" w:rsidRPr="00FA4E22">
        <w:rPr>
          <w:rFonts w:ascii="Times New Roman" w:eastAsia="Times New Roman" w:hAnsi="Times New Roman"/>
          <w:b/>
          <w:snapToGrid w:val="0"/>
          <w:kern w:val="3"/>
          <w:sz w:val="24"/>
          <w:szCs w:val="24"/>
          <w:lang w:eastAsia="zh-CN"/>
        </w:rPr>
        <w:t>250 EUR per month</w:t>
      </w:r>
      <w:r w:rsidR="00FA4E22" w:rsidRPr="00FA4E22">
        <w:rPr>
          <w:rFonts w:ascii="Times New Roman" w:eastAsia="Times New Roman" w:hAnsi="Times New Roman"/>
          <w:snapToGrid w:val="0"/>
          <w:kern w:val="3"/>
          <w:sz w:val="24"/>
          <w:szCs w:val="24"/>
          <w:lang w:eastAsia="zh-CN"/>
        </w:rPr>
        <w:t xml:space="preserve">. </w:t>
      </w:r>
    </w:p>
    <w:p w14:paraId="4C0CE22F" w14:textId="19BF27EC" w:rsidR="0072048B" w:rsidRDefault="00FA4E22" w:rsidP="004216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4E22">
        <w:rPr>
          <w:rFonts w:ascii="Times New Roman" w:hAnsi="Times New Roman"/>
          <w:b/>
          <w:sz w:val="24"/>
          <w:szCs w:val="24"/>
        </w:rPr>
        <w:t>Students and recent graduates on short-term physical mobility</w:t>
      </w:r>
      <w:r w:rsidRPr="00B000DD">
        <w:rPr>
          <w:rFonts w:ascii="Times New Roman" w:hAnsi="Times New Roman"/>
          <w:sz w:val="24"/>
          <w:szCs w:val="24"/>
        </w:rPr>
        <w:t xml:space="preserve"> </w:t>
      </w:r>
      <w:r w:rsidR="004636C5">
        <w:rPr>
          <w:rFonts w:ascii="Times New Roman" w:hAnsi="Times New Roman"/>
          <w:sz w:val="24"/>
          <w:szCs w:val="24"/>
        </w:rPr>
        <w:t xml:space="preserve">to any country </w:t>
      </w:r>
      <w:r w:rsidRPr="00B000DD">
        <w:rPr>
          <w:rFonts w:ascii="Times New Roman" w:hAnsi="Times New Roman"/>
          <w:sz w:val="24"/>
          <w:szCs w:val="24"/>
        </w:rPr>
        <w:t xml:space="preserve">receive </w:t>
      </w:r>
      <w:r w:rsidR="004636C5">
        <w:rPr>
          <w:rFonts w:ascii="Times New Roman" w:hAnsi="Times New Roman"/>
          <w:sz w:val="24"/>
          <w:szCs w:val="24"/>
        </w:rPr>
        <w:t xml:space="preserve">a base amount of </w:t>
      </w:r>
      <w:r w:rsidRPr="00FA4E22">
        <w:rPr>
          <w:rFonts w:ascii="Times New Roman" w:hAnsi="Times New Roman"/>
          <w:b/>
          <w:sz w:val="24"/>
          <w:szCs w:val="24"/>
        </w:rPr>
        <w:t>70 EUR per day</w:t>
      </w:r>
      <w:r w:rsidRPr="00B000DD">
        <w:rPr>
          <w:rFonts w:ascii="Times New Roman" w:hAnsi="Times New Roman"/>
          <w:sz w:val="24"/>
          <w:szCs w:val="24"/>
        </w:rPr>
        <w:t xml:space="preserve"> up to the 14</w:t>
      </w:r>
      <w:r w:rsidRPr="00B000DD">
        <w:rPr>
          <w:rFonts w:ascii="Times New Roman" w:hAnsi="Times New Roman"/>
          <w:sz w:val="24"/>
          <w:szCs w:val="24"/>
          <w:vertAlign w:val="superscript"/>
        </w:rPr>
        <w:t>th</w:t>
      </w:r>
      <w:r w:rsidRPr="00B000DD">
        <w:rPr>
          <w:rFonts w:ascii="Times New Roman" w:hAnsi="Times New Roman"/>
          <w:sz w:val="24"/>
          <w:szCs w:val="24"/>
        </w:rPr>
        <w:t xml:space="preserve"> day of activity, and </w:t>
      </w:r>
      <w:r w:rsidR="004636C5">
        <w:rPr>
          <w:rFonts w:ascii="Times New Roman" w:hAnsi="Times New Roman"/>
          <w:sz w:val="24"/>
          <w:szCs w:val="24"/>
        </w:rPr>
        <w:t xml:space="preserve">of </w:t>
      </w:r>
      <w:r w:rsidRPr="00FA4E22">
        <w:rPr>
          <w:rFonts w:ascii="Times New Roman" w:hAnsi="Times New Roman"/>
          <w:b/>
          <w:sz w:val="24"/>
          <w:szCs w:val="24"/>
        </w:rPr>
        <w:t>50 EUR per day</w:t>
      </w:r>
      <w:r w:rsidRPr="00B000DD">
        <w:rPr>
          <w:rFonts w:ascii="Times New Roman" w:hAnsi="Times New Roman"/>
          <w:sz w:val="24"/>
          <w:szCs w:val="24"/>
        </w:rPr>
        <w:t xml:space="preserve"> between the 15</w:t>
      </w:r>
      <w:r w:rsidRPr="00B000DD">
        <w:rPr>
          <w:rFonts w:ascii="Times New Roman" w:hAnsi="Times New Roman"/>
          <w:sz w:val="24"/>
          <w:szCs w:val="24"/>
          <w:vertAlign w:val="superscript"/>
        </w:rPr>
        <w:t>th</w:t>
      </w:r>
      <w:r w:rsidRPr="00B000DD">
        <w:rPr>
          <w:rFonts w:ascii="Times New Roman" w:hAnsi="Times New Roman"/>
          <w:sz w:val="24"/>
          <w:szCs w:val="24"/>
        </w:rPr>
        <w:t xml:space="preserve"> to the 30</w:t>
      </w:r>
      <w:r w:rsidRPr="00B000DD">
        <w:rPr>
          <w:rFonts w:ascii="Times New Roman" w:hAnsi="Times New Roman"/>
          <w:sz w:val="24"/>
          <w:szCs w:val="24"/>
          <w:vertAlign w:val="superscript"/>
        </w:rPr>
        <w:t>th</w:t>
      </w:r>
      <w:r w:rsidRPr="00B000DD">
        <w:rPr>
          <w:rFonts w:ascii="Times New Roman" w:hAnsi="Times New Roman"/>
          <w:sz w:val="24"/>
          <w:szCs w:val="24"/>
        </w:rPr>
        <w:t xml:space="preserve"> day of activity.</w:t>
      </w:r>
    </w:p>
    <w:p w14:paraId="3D63CB0E" w14:textId="4D89F9DE" w:rsidR="00B000DD" w:rsidRDefault="00785C88" w:rsidP="00B000D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</w:t>
      </w:r>
      <w:r w:rsidR="00B000DD">
        <w:rPr>
          <w:rFonts w:ascii="Times New Roman" w:hAnsi="Times New Roman"/>
          <w:b/>
          <w:sz w:val="24"/>
          <w:szCs w:val="24"/>
        </w:rPr>
        <w:t>ts and recent graduates with fewer opportunities on short-term physical mobility</w:t>
      </w:r>
      <w:r w:rsidR="00B000DD">
        <w:rPr>
          <w:rFonts w:ascii="Times New Roman" w:hAnsi="Times New Roman"/>
          <w:sz w:val="24"/>
          <w:szCs w:val="24"/>
        </w:rPr>
        <w:t xml:space="preserve"> receive a top-up amount to the individual support </w:t>
      </w:r>
      <w:r w:rsidR="004636C5">
        <w:rPr>
          <w:rFonts w:ascii="Times New Roman" w:hAnsi="Times New Roman"/>
          <w:sz w:val="24"/>
          <w:szCs w:val="24"/>
        </w:rPr>
        <w:t xml:space="preserve">base amount </w:t>
      </w:r>
      <w:r w:rsidR="00B000DD">
        <w:rPr>
          <w:rFonts w:ascii="Times New Roman" w:hAnsi="Times New Roman"/>
          <w:sz w:val="24"/>
          <w:szCs w:val="24"/>
        </w:rPr>
        <w:t xml:space="preserve">of </w:t>
      </w:r>
      <w:r w:rsidR="00B000DD">
        <w:rPr>
          <w:rFonts w:ascii="Times New Roman" w:hAnsi="Times New Roman"/>
          <w:b/>
          <w:sz w:val="24"/>
          <w:szCs w:val="24"/>
        </w:rPr>
        <w:t xml:space="preserve">100 </w:t>
      </w:r>
      <w:r w:rsidR="004C7EC4">
        <w:rPr>
          <w:rFonts w:ascii="Times New Roman" w:hAnsi="Times New Roman"/>
          <w:b/>
          <w:sz w:val="24"/>
          <w:szCs w:val="24"/>
        </w:rPr>
        <w:t xml:space="preserve">EUR </w:t>
      </w:r>
      <w:r w:rsidR="004C7EC4">
        <w:rPr>
          <w:rFonts w:ascii="Times New Roman" w:hAnsi="Times New Roman"/>
          <w:sz w:val="24"/>
          <w:szCs w:val="24"/>
        </w:rPr>
        <w:t>for</w:t>
      </w:r>
      <w:r w:rsidR="00B000DD">
        <w:rPr>
          <w:rFonts w:ascii="Times New Roman" w:hAnsi="Times New Roman"/>
          <w:sz w:val="24"/>
          <w:szCs w:val="24"/>
        </w:rPr>
        <w:t xml:space="preserve"> a physical mobility activity period of 5-14 days and </w:t>
      </w:r>
      <w:r w:rsidR="00B000DD">
        <w:rPr>
          <w:rFonts w:ascii="Times New Roman" w:hAnsi="Times New Roman"/>
          <w:b/>
          <w:sz w:val="24"/>
          <w:szCs w:val="24"/>
        </w:rPr>
        <w:t>150 EUR</w:t>
      </w:r>
      <w:r w:rsidR="00B000DD">
        <w:rPr>
          <w:rFonts w:ascii="Times New Roman" w:hAnsi="Times New Roman"/>
          <w:sz w:val="24"/>
          <w:szCs w:val="24"/>
        </w:rPr>
        <w:t xml:space="preserve"> for the one of 15-30 days. The top-up amount for traineeship does not apply in this case.</w:t>
      </w:r>
    </w:p>
    <w:p w14:paraId="4143A505" w14:textId="77777777" w:rsidR="004B5EBD" w:rsidRDefault="004B5EBD" w:rsidP="004B5EB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DAC5038" w14:textId="77777777" w:rsidR="005B689F" w:rsidRDefault="005B689F" w:rsidP="005B689F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</w:rPr>
      </w:pPr>
      <w:r w:rsidRPr="004F7DD0">
        <w:rPr>
          <w:rFonts w:ascii="Times New Roman" w:eastAsia="SimSun" w:hAnsi="Times New Roman" w:cs="Times New Roman"/>
          <w:b/>
          <w:sz w:val="24"/>
        </w:rPr>
        <w:t>Funded travel days</w:t>
      </w:r>
      <w:r>
        <w:rPr>
          <w:rFonts w:ascii="Times New Roman" w:eastAsia="SimSun" w:hAnsi="Times New Roman" w:cs="Times New Roman"/>
          <w:sz w:val="24"/>
        </w:rPr>
        <w:t>:</w:t>
      </w:r>
    </w:p>
    <w:p w14:paraId="1EDADC3F" w14:textId="4EF16494" w:rsidR="005B689F" w:rsidRDefault="005B689F" w:rsidP="004F7DD0">
      <w:pPr>
        <w:numPr>
          <w:ilvl w:val="1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</w:rPr>
      </w:pPr>
      <w:r w:rsidRPr="008B4684">
        <w:rPr>
          <w:rFonts w:ascii="Times New Roman" w:eastAsia="SimSun" w:hAnsi="Times New Roman" w:cs="Times New Roman"/>
          <w:b/>
          <w:sz w:val="24"/>
        </w:rPr>
        <w:t>Student and recent graduate participants on short-term student mobility may receive up to two travel days funded by individual support</w:t>
      </w:r>
      <w:r>
        <w:rPr>
          <w:rFonts w:ascii="Times New Roman" w:eastAsia="SimSun" w:hAnsi="Times New Roman" w:cs="Times New Roman"/>
          <w:sz w:val="24"/>
        </w:rPr>
        <w:t>.</w:t>
      </w:r>
    </w:p>
    <w:p w14:paraId="4D401BE7" w14:textId="618D7EE1" w:rsidR="005B689F" w:rsidRDefault="005B689F" w:rsidP="004F7DD0">
      <w:pPr>
        <w:numPr>
          <w:ilvl w:val="1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/>
          <w:sz w:val="24"/>
        </w:rPr>
        <w:lastRenderedPageBreak/>
        <w:t>In case of green travel with sustainable means of transport, student and recent graduate participants on short-term and long-term student mobility may receive up to four additional travel days funded by individual support.</w:t>
      </w:r>
    </w:p>
    <w:p w14:paraId="791B479C" w14:textId="77777777" w:rsidR="005B689F" w:rsidRPr="00B000DD" w:rsidRDefault="005B689F" w:rsidP="00F75ABE">
      <w:pPr>
        <w:pStyle w:val="ListParagraph"/>
        <w:rPr>
          <w:rFonts w:ascii="Times New Roman" w:hAnsi="Times New Roman"/>
          <w:sz w:val="24"/>
          <w:szCs w:val="24"/>
        </w:rPr>
      </w:pPr>
    </w:p>
    <w:p w14:paraId="4C0CE230" w14:textId="77777777" w:rsidR="007443FC" w:rsidRDefault="007443FC" w:rsidP="0072048B">
      <w:pPr>
        <w:spacing w:after="0" w:line="240" w:lineRule="auto"/>
        <w:rPr>
          <w:rFonts w:ascii="Times New Roman" w:hAnsi="Times New Roman" w:cs="Times New Roman"/>
        </w:rPr>
      </w:pPr>
    </w:p>
    <w:p w14:paraId="4C0CE231" w14:textId="77777777" w:rsidR="008E179D" w:rsidRPr="00421696" w:rsidRDefault="008E179D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696">
        <w:rPr>
          <w:rFonts w:ascii="Times New Roman" w:hAnsi="Times New Roman"/>
          <w:b/>
          <w:sz w:val="24"/>
          <w:szCs w:val="24"/>
        </w:rPr>
        <w:t>3. Organisational support</w:t>
      </w:r>
    </w:p>
    <w:p w14:paraId="4C0CE232" w14:textId="77777777" w:rsidR="007443FC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EED9E0" w14:textId="4270B1DA" w:rsidR="00D06E36" w:rsidRPr="004F7DD0" w:rsidRDefault="00D06E36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7DD0">
        <w:rPr>
          <w:rFonts w:ascii="Times New Roman" w:hAnsi="Times New Roman"/>
          <w:b/>
          <w:sz w:val="24"/>
          <w:szCs w:val="24"/>
        </w:rPr>
        <w:t>Mobility organisational support</w:t>
      </w:r>
    </w:p>
    <w:p w14:paraId="7863E1C4" w14:textId="77777777" w:rsidR="00D06E36" w:rsidRDefault="00D06E36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9B0078" w14:textId="303A3ABE" w:rsidR="003F3F14" w:rsidRDefault="00914C6B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KA131: </w:t>
      </w:r>
      <w:r w:rsidR="007443FC" w:rsidRPr="00D878F1">
        <w:rPr>
          <w:rFonts w:ascii="Times New Roman" w:hAnsi="Times New Roman"/>
          <w:sz w:val="24"/>
          <w:szCs w:val="24"/>
        </w:rPr>
        <w:t xml:space="preserve">Up to the 100th participant: </w:t>
      </w:r>
      <w:r w:rsidR="00B000DD">
        <w:rPr>
          <w:rFonts w:ascii="Times New Roman" w:hAnsi="Times New Roman"/>
          <w:sz w:val="24"/>
          <w:szCs w:val="24"/>
        </w:rPr>
        <w:t>40</w:t>
      </w:r>
      <w:r w:rsidR="007443FC" w:rsidRPr="00D878F1">
        <w:rPr>
          <w:rFonts w:ascii="Times New Roman" w:hAnsi="Times New Roman"/>
          <w:sz w:val="24"/>
          <w:szCs w:val="24"/>
        </w:rPr>
        <w:t>0 EUR per participant</w:t>
      </w:r>
    </w:p>
    <w:p w14:paraId="4C0CE233" w14:textId="528B07B5" w:rsidR="007443FC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8F1">
        <w:rPr>
          <w:rFonts w:ascii="Times New Roman" w:hAnsi="Times New Roman"/>
          <w:sz w:val="24"/>
          <w:szCs w:val="24"/>
        </w:rPr>
        <w:t xml:space="preserve">+ </w:t>
      </w:r>
      <w:proofErr w:type="gramStart"/>
      <w:r w:rsidRPr="00D878F1">
        <w:rPr>
          <w:rFonts w:ascii="Times New Roman" w:hAnsi="Times New Roman"/>
          <w:sz w:val="24"/>
          <w:szCs w:val="24"/>
        </w:rPr>
        <w:t>beyond</w:t>
      </w:r>
      <w:proofErr w:type="gramEnd"/>
      <w:r w:rsidRPr="00D878F1">
        <w:rPr>
          <w:rFonts w:ascii="Times New Roman" w:hAnsi="Times New Roman"/>
          <w:sz w:val="24"/>
          <w:szCs w:val="24"/>
        </w:rPr>
        <w:t xml:space="preserve"> the 100th participant: 2</w:t>
      </w:r>
      <w:r w:rsidR="00B000DD">
        <w:rPr>
          <w:rFonts w:ascii="Times New Roman" w:hAnsi="Times New Roman"/>
          <w:sz w:val="24"/>
          <w:szCs w:val="24"/>
        </w:rPr>
        <w:t>3</w:t>
      </w:r>
      <w:r w:rsidRPr="00D878F1">
        <w:rPr>
          <w:rFonts w:ascii="Times New Roman" w:hAnsi="Times New Roman"/>
          <w:sz w:val="24"/>
          <w:szCs w:val="24"/>
        </w:rPr>
        <w:t>0 EUR per additional participant.</w:t>
      </w:r>
    </w:p>
    <w:p w14:paraId="0350ADDD" w14:textId="77777777" w:rsidR="007E07E6" w:rsidRDefault="007E07E6" w:rsidP="007E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2B951B" w14:textId="77777777" w:rsidR="00D06E36" w:rsidRDefault="00D06E36" w:rsidP="00D06E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KA171: 500 EUR per participant.</w:t>
      </w:r>
    </w:p>
    <w:p w14:paraId="7FA6F960" w14:textId="77777777" w:rsidR="00D06E36" w:rsidRDefault="00D06E36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4E5B1" w14:textId="0A7003CC" w:rsidR="00D06E36" w:rsidRPr="004F7DD0" w:rsidRDefault="00D06E36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7DD0">
        <w:rPr>
          <w:rFonts w:ascii="Times New Roman" w:hAnsi="Times New Roman"/>
          <w:b/>
          <w:sz w:val="24"/>
          <w:szCs w:val="24"/>
        </w:rPr>
        <w:t>KA131 b</w:t>
      </w:r>
      <w:r w:rsidR="007E07E6" w:rsidRPr="004F7DD0">
        <w:rPr>
          <w:rFonts w:ascii="Times New Roman" w:hAnsi="Times New Roman"/>
          <w:b/>
          <w:sz w:val="24"/>
          <w:szCs w:val="24"/>
        </w:rPr>
        <w:t>lended intensive programme</w:t>
      </w:r>
      <w:r w:rsidRPr="004F7DD0">
        <w:rPr>
          <w:rFonts w:ascii="Times New Roman" w:hAnsi="Times New Roman"/>
          <w:b/>
          <w:sz w:val="24"/>
          <w:szCs w:val="24"/>
        </w:rPr>
        <w:t xml:space="preserve"> organisational support</w:t>
      </w:r>
    </w:p>
    <w:p w14:paraId="3401F6E8" w14:textId="77777777" w:rsidR="00D06E36" w:rsidRDefault="00D06E36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75A7AE" w14:textId="19552CD6" w:rsidR="007E07E6" w:rsidRDefault="007E07E6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696">
        <w:rPr>
          <w:rFonts w:ascii="Times New Roman" w:hAnsi="Times New Roman"/>
          <w:sz w:val="24"/>
          <w:szCs w:val="24"/>
        </w:rPr>
        <w:t>400 EUR</w:t>
      </w:r>
      <w:r w:rsidRPr="00B51225">
        <w:rPr>
          <w:rFonts w:ascii="Times New Roman" w:hAnsi="Times New Roman"/>
          <w:sz w:val="24"/>
          <w:szCs w:val="24"/>
        </w:rPr>
        <w:t xml:space="preserve"> per </w:t>
      </w:r>
      <w:r w:rsidR="009121EA">
        <w:rPr>
          <w:rFonts w:ascii="Times New Roman" w:hAnsi="Times New Roman"/>
          <w:sz w:val="24"/>
          <w:szCs w:val="24"/>
        </w:rPr>
        <w:t xml:space="preserve">mobile </w:t>
      </w:r>
      <w:r w:rsidRPr="00B51225">
        <w:rPr>
          <w:rFonts w:ascii="Times New Roman" w:hAnsi="Times New Roman"/>
          <w:sz w:val="24"/>
          <w:szCs w:val="24"/>
        </w:rPr>
        <w:t xml:space="preserve">participant, with minimum 15 </w:t>
      </w:r>
      <w:r w:rsidR="009121EA">
        <w:rPr>
          <w:rFonts w:ascii="Times New Roman" w:hAnsi="Times New Roman"/>
          <w:sz w:val="24"/>
          <w:szCs w:val="24"/>
        </w:rPr>
        <w:t xml:space="preserve">learner </w:t>
      </w:r>
      <w:r w:rsidRPr="00B51225">
        <w:rPr>
          <w:rFonts w:ascii="Times New Roman" w:hAnsi="Times New Roman"/>
          <w:sz w:val="24"/>
          <w:szCs w:val="24"/>
        </w:rPr>
        <w:t xml:space="preserve">participants and a maximum of 20 funded </w:t>
      </w:r>
      <w:r w:rsidR="009121EA">
        <w:rPr>
          <w:rFonts w:ascii="Times New Roman" w:hAnsi="Times New Roman"/>
          <w:sz w:val="24"/>
          <w:szCs w:val="24"/>
        </w:rPr>
        <w:t xml:space="preserve">learner </w:t>
      </w:r>
      <w:r w:rsidRPr="00B51225">
        <w:rPr>
          <w:rFonts w:ascii="Times New Roman" w:hAnsi="Times New Roman"/>
          <w:sz w:val="24"/>
          <w:szCs w:val="24"/>
        </w:rPr>
        <w:t>participants</w:t>
      </w:r>
      <w:r w:rsidR="00914C6B">
        <w:rPr>
          <w:rFonts w:ascii="Times New Roman" w:hAnsi="Times New Roman"/>
          <w:sz w:val="24"/>
          <w:szCs w:val="24"/>
        </w:rPr>
        <w:t>.</w:t>
      </w:r>
    </w:p>
    <w:p w14:paraId="10CFE42D" w14:textId="54675AEA" w:rsidR="00914C6B" w:rsidRDefault="00914C6B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768DBC" w14:textId="77777777" w:rsidR="008A0D3A" w:rsidRDefault="008A0D3A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B2FD55" w14:textId="2FD4434F" w:rsidR="00B000DD" w:rsidRPr="007E07E6" w:rsidRDefault="00B000DD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3060">
        <w:rPr>
          <w:rFonts w:ascii="Times New Roman" w:hAnsi="Times New Roman"/>
          <w:b/>
          <w:sz w:val="24"/>
          <w:szCs w:val="24"/>
        </w:rPr>
        <w:t>4. Inclusion support</w:t>
      </w:r>
      <w:r w:rsidR="007F3410">
        <w:rPr>
          <w:rFonts w:ascii="Times New Roman" w:hAnsi="Times New Roman"/>
          <w:b/>
          <w:sz w:val="24"/>
          <w:szCs w:val="24"/>
        </w:rPr>
        <w:t xml:space="preserve"> </w:t>
      </w:r>
    </w:p>
    <w:p w14:paraId="455F676D" w14:textId="780FA1ED" w:rsidR="00B000DD" w:rsidRDefault="00B000DD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998E7E" w14:textId="04B49789" w:rsidR="00D83660" w:rsidRDefault="00E23060" w:rsidP="00421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60"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 for costs related to the organisation of mobility activities for participants with fewer opportunities</w:t>
      </w:r>
      <w:r w:rsidR="0045432C">
        <w:rPr>
          <w:rFonts w:ascii="Times New Roman" w:hAnsi="Times New Roman"/>
          <w:sz w:val="24"/>
          <w:szCs w:val="24"/>
        </w:rPr>
        <w:t xml:space="preserve"> receiving </w:t>
      </w:r>
      <w:r w:rsidR="0045432C" w:rsidRPr="0045432C">
        <w:rPr>
          <w:rFonts w:ascii="Times New Roman" w:hAnsi="Times New Roman"/>
          <w:sz w:val="24"/>
          <w:szCs w:val="24"/>
        </w:rPr>
        <w:t>additional support based on real costs through</w:t>
      </w:r>
      <w:r w:rsidR="00421696">
        <w:rPr>
          <w:rFonts w:ascii="Times New Roman" w:hAnsi="Times New Roman"/>
          <w:sz w:val="24"/>
          <w:szCs w:val="24"/>
        </w:rPr>
        <w:t xml:space="preserve"> the inclusion support </w:t>
      </w:r>
      <w:r w:rsidR="009121EA">
        <w:rPr>
          <w:rFonts w:ascii="Times New Roman" w:hAnsi="Times New Roman"/>
          <w:sz w:val="24"/>
          <w:szCs w:val="24"/>
        </w:rPr>
        <w:t xml:space="preserve">for </w:t>
      </w:r>
      <w:proofErr w:type="gramStart"/>
      <w:r w:rsidR="009121EA">
        <w:rPr>
          <w:rFonts w:ascii="Times New Roman" w:hAnsi="Times New Roman"/>
          <w:sz w:val="24"/>
          <w:szCs w:val="24"/>
        </w:rPr>
        <w:t>participants</w:t>
      </w:r>
      <w:proofErr w:type="gramEnd"/>
      <w:r w:rsidR="009121EA">
        <w:rPr>
          <w:rFonts w:ascii="Times New Roman" w:hAnsi="Times New Roman"/>
          <w:sz w:val="24"/>
          <w:szCs w:val="24"/>
        </w:rPr>
        <w:t xml:space="preserve"> </w:t>
      </w:r>
      <w:r w:rsidR="00421696">
        <w:rPr>
          <w:rFonts w:ascii="Times New Roman" w:hAnsi="Times New Roman"/>
          <w:sz w:val="24"/>
          <w:szCs w:val="24"/>
        </w:rPr>
        <w:t>category.</w:t>
      </w:r>
    </w:p>
    <w:p w14:paraId="1BE447DC" w14:textId="77777777" w:rsidR="00421696" w:rsidRPr="00421696" w:rsidRDefault="00421696" w:rsidP="00421696"/>
    <w:sectPr w:rsidR="00421696" w:rsidRPr="00421696" w:rsidSect="0085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5BBE"/>
    <w:multiLevelType w:val="hybridMultilevel"/>
    <w:tmpl w:val="B1CEB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567DA"/>
    <w:multiLevelType w:val="hybridMultilevel"/>
    <w:tmpl w:val="6DA23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A01BC"/>
    <w:rsid w:val="00002D66"/>
    <w:rsid w:val="000236BC"/>
    <w:rsid w:val="0004022B"/>
    <w:rsid w:val="0004056C"/>
    <w:rsid w:val="000501A2"/>
    <w:rsid w:val="00076724"/>
    <w:rsid w:val="0008055F"/>
    <w:rsid w:val="000D2270"/>
    <w:rsid w:val="000D504E"/>
    <w:rsid w:val="000E6819"/>
    <w:rsid w:val="000F5B7A"/>
    <w:rsid w:val="00181C9F"/>
    <w:rsid w:val="001B7DF5"/>
    <w:rsid w:val="00254A05"/>
    <w:rsid w:val="002622AD"/>
    <w:rsid w:val="00291D7F"/>
    <w:rsid w:val="002A3D8D"/>
    <w:rsid w:val="002C1FBF"/>
    <w:rsid w:val="002C35BE"/>
    <w:rsid w:val="002C3884"/>
    <w:rsid w:val="002D2A5F"/>
    <w:rsid w:val="003634CF"/>
    <w:rsid w:val="003A3EC2"/>
    <w:rsid w:val="003D0EF3"/>
    <w:rsid w:val="003E3FCC"/>
    <w:rsid w:val="003F3F14"/>
    <w:rsid w:val="004125E7"/>
    <w:rsid w:val="00421696"/>
    <w:rsid w:val="00426CBD"/>
    <w:rsid w:val="00430D12"/>
    <w:rsid w:val="0045432C"/>
    <w:rsid w:val="004627CE"/>
    <w:rsid w:val="0046296A"/>
    <w:rsid w:val="004636C5"/>
    <w:rsid w:val="004636ED"/>
    <w:rsid w:val="004A7AE5"/>
    <w:rsid w:val="004B5EBD"/>
    <w:rsid w:val="004C6A6D"/>
    <w:rsid w:val="004C7EC4"/>
    <w:rsid w:val="004D1BA7"/>
    <w:rsid w:val="004F7DD0"/>
    <w:rsid w:val="0051297E"/>
    <w:rsid w:val="00523CFE"/>
    <w:rsid w:val="00525F53"/>
    <w:rsid w:val="00526D0A"/>
    <w:rsid w:val="00547555"/>
    <w:rsid w:val="005718C6"/>
    <w:rsid w:val="005862A9"/>
    <w:rsid w:val="00587C0B"/>
    <w:rsid w:val="005B689F"/>
    <w:rsid w:val="005C4DEF"/>
    <w:rsid w:val="005F3970"/>
    <w:rsid w:val="005F632B"/>
    <w:rsid w:val="0064447B"/>
    <w:rsid w:val="006C4C6A"/>
    <w:rsid w:val="006D1AF1"/>
    <w:rsid w:val="006D74F7"/>
    <w:rsid w:val="006E4AF7"/>
    <w:rsid w:val="0072048B"/>
    <w:rsid w:val="00724968"/>
    <w:rsid w:val="007335B7"/>
    <w:rsid w:val="007443FC"/>
    <w:rsid w:val="007802D8"/>
    <w:rsid w:val="0078495C"/>
    <w:rsid w:val="00785C88"/>
    <w:rsid w:val="007E07E6"/>
    <w:rsid w:val="007F3410"/>
    <w:rsid w:val="008328A1"/>
    <w:rsid w:val="00850120"/>
    <w:rsid w:val="00855240"/>
    <w:rsid w:val="00866095"/>
    <w:rsid w:val="008916BE"/>
    <w:rsid w:val="008A0D3A"/>
    <w:rsid w:val="008A149A"/>
    <w:rsid w:val="008B0DC4"/>
    <w:rsid w:val="008B4684"/>
    <w:rsid w:val="008E179D"/>
    <w:rsid w:val="008F18D8"/>
    <w:rsid w:val="009121EA"/>
    <w:rsid w:val="00912359"/>
    <w:rsid w:val="00914C6B"/>
    <w:rsid w:val="00925734"/>
    <w:rsid w:val="009444DF"/>
    <w:rsid w:val="00967433"/>
    <w:rsid w:val="00970744"/>
    <w:rsid w:val="009723B4"/>
    <w:rsid w:val="00997EB1"/>
    <w:rsid w:val="009A01BC"/>
    <w:rsid w:val="009B43CC"/>
    <w:rsid w:val="009C18A6"/>
    <w:rsid w:val="009D6416"/>
    <w:rsid w:val="009E00E9"/>
    <w:rsid w:val="009F1623"/>
    <w:rsid w:val="00A05EB9"/>
    <w:rsid w:val="00A071B4"/>
    <w:rsid w:val="00A40237"/>
    <w:rsid w:val="00A55CED"/>
    <w:rsid w:val="00A91261"/>
    <w:rsid w:val="00AB45F7"/>
    <w:rsid w:val="00AC77B8"/>
    <w:rsid w:val="00B000DD"/>
    <w:rsid w:val="00B47383"/>
    <w:rsid w:val="00B716A6"/>
    <w:rsid w:val="00B7716A"/>
    <w:rsid w:val="00B83B91"/>
    <w:rsid w:val="00B95E58"/>
    <w:rsid w:val="00BA3CCE"/>
    <w:rsid w:val="00BB3596"/>
    <w:rsid w:val="00BB4C4B"/>
    <w:rsid w:val="00BC496D"/>
    <w:rsid w:val="00BE0E19"/>
    <w:rsid w:val="00C6134E"/>
    <w:rsid w:val="00C67788"/>
    <w:rsid w:val="00C82752"/>
    <w:rsid w:val="00C90160"/>
    <w:rsid w:val="00CA4D4D"/>
    <w:rsid w:val="00CB0A23"/>
    <w:rsid w:val="00CE6CCB"/>
    <w:rsid w:val="00D06E36"/>
    <w:rsid w:val="00D16EFE"/>
    <w:rsid w:val="00D238F1"/>
    <w:rsid w:val="00D60AE3"/>
    <w:rsid w:val="00D72D11"/>
    <w:rsid w:val="00D73ED3"/>
    <w:rsid w:val="00D83660"/>
    <w:rsid w:val="00DE37ED"/>
    <w:rsid w:val="00DE439A"/>
    <w:rsid w:val="00E2107A"/>
    <w:rsid w:val="00E23060"/>
    <w:rsid w:val="00E336EE"/>
    <w:rsid w:val="00E86B26"/>
    <w:rsid w:val="00EA29D6"/>
    <w:rsid w:val="00ED156A"/>
    <w:rsid w:val="00ED7250"/>
    <w:rsid w:val="00EE371D"/>
    <w:rsid w:val="00F16BDB"/>
    <w:rsid w:val="00F265D3"/>
    <w:rsid w:val="00F37C3F"/>
    <w:rsid w:val="00F703C1"/>
    <w:rsid w:val="00F75ABE"/>
    <w:rsid w:val="00F77B31"/>
    <w:rsid w:val="00F84E9A"/>
    <w:rsid w:val="00F9359C"/>
    <w:rsid w:val="00F96D90"/>
    <w:rsid w:val="00FA36D3"/>
    <w:rsid w:val="00FA4E22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CE1B4"/>
  <w15:docId w15:val="{3CE976FC-F9AA-4030-A545-0F688D47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34E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Revision">
    <w:name w:val="Revision"/>
    <w:hidden/>
    <w:uiPriority w:val="99"/>
    <w:semiHidden/>
    <w:rsid w:val="00523C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4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E2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6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2022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B8B1-3F7D-40FF-95D8-F9911F190C1B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266E67B6-172B-4872-B4D9-D2BF8022A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25100-0BB2-44AC-89C7-6AB089B90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3EFDDF-4151-4D1F-94B9-F2620B77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Stavri Antoniou</cp:lastModifiedBy>
  <cp:revision>2</cp:revision>
  <cp:lastPrinted>2016-04-20T09:41:00Z</cp:lastPrinted>
  <dcterms:created xsi:type="dcterms:W3CDTF">2022-11-16T10:17:00Z</dcterms:created>
  <dcterms:modified xsi:type="dcterms:W3CDTF">2022-11-16T10:17:00Z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