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0899" w14:textId="7295C33D" w:rsidR="007F7407" w:rsidRPr="007F7407" w:rsidRDefault="00B20DB0" w:rsidP="007F7407">
      <w:pPr>
        <w:jc w:val="center"/>
        <w:rPr>
          <w:rFonts w:ascii="Times New Roman" w:hAnsi="Times New Roman"/>
          <w:b/>
          <w:sz w:val="24"/>
          <w:szCs w:val="24"/>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59DA21FF" w:rsidR="00B20DB0"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Calculation of th</w:t>
      </w:r>
      <w:r w:rsidR="00AC0C97">
        <w:rPr>
          <w:rFonts w:ascii="Times New Roman" w:hAnsi="Times New Roman"/>
          <w:sz w:val="24"/>
          <w:szCs w:val="24"/>
        </w:rPr>
        <w:t xml:space="preserve">e grant amount for travel costs: </w:t>
      </w:r>
      <w:r>
        <w:rPr>
          <w:rFonts w:ascii="Times New Roman" w:hAnsi="Times New Roman"/>
          <w:sz w:val="24"/>
          <w:szCs w:val="24"/>
        </w:rPr>
        <w:t>the grant amount is calculated by multiplying the number of participants per distance band,</w:t>
      </w:r>
      <w:r w:rsidR="00AC0C97">
        <w:rPr>
          <w:rFonts w:ascii="Times New Roman" w:hAnsi="Times New Roman"/>
          <w:sz w:val="24"/>
          <w:szCs w:val="24"/>
        </w:rPr>
        <w:t xml:space="preserve"> including accompanying persons</w:t>
      </w:r>
      <w:r w:rsidRPr="00B578BC">
        <w:rPr>
          <w:rFonts w:ascii="Times New Roman" w:hAnsi="Times New Roman"/>
          <w:sz w:val="24"/>
          <w:szCs w:val="24"/>
        </w:rPr>
        <w:t>,</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D1297D" w:rsidP="0051078E">
      <w:pPr>
        <w:spacing w:after="0"/>
        <w:ind w:left="567"/>
        <w:jc w:val="both"/>
        <w:rPr>
          <w:rFonts w:ascii="Times New Roman" w:hAnsi="Times New Roman"/>
          <w:sz w:val="24"/>
          <w:szCs w:val="24"/>
        </w:rPr>
      </w:pPr>
      <w:hyperlink r:id="rId13"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2F718441"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5962538" w14:textId="10C02FC4" w:rsidR="00F87693" w:rsidRPr="00B578BC" w:rsidRDefault="00AC0C97" w:rsidP="00C81CCC">
      <w:pPr>
        <w:numPr>
          <w:ilvl w:val="0"/>
          <w:numId w:val="3"/>
        </w:numPr>
        <w:spacing w:after="0" w:line="100" w:lineRule="atLeast"/>
        <w:ind w:hanging="578"/>
        <w:jc w:val="both"/>
        <w:rPr>
          <w:rFonts w:ascii="Times New Roman" w:hAnsi="Times New Roman"/>
          <w:color w:val="000000"/>
          <w:sz w:val="24"/>
          <w:szCs w:val="24"/>
        </w:rPr>
      </w:pPr>
      <w:r>
        <w:rPr>
          <w:rFonts w:ascii="Times New Roman" w:eastAsia="Times New Roman" w:hAnsi="Times New Roman"/>
          <w:color w:val="000000"/>
          <w:sz w:val="24"/>
          <w:szCs w:val="24"/>
        </w:rPr>
        <w:t>Supporting documents</w:t>
      </w:r>
      <w:r w:rsidR="00B20DB0" w:rsidRPr="00B578BC">
        <w:rPr>
          <w:rFonts w:ascii="Times New Roman" w:eastAsia="Times New Roman" w:hAnsi="Times New Roman"/>
          <w:color w:val="000000"/>
          <w:sz w:val="24"/>
          <w:szCs w:val="24"/>
        </w:rPr>
        <w:t>:</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054C4A5E" w:rsidR="00B20DB0" w:rsidRDefault="00B20DB0">
      <w:pPr>
        <w:tabs>
          <w:tab w:val="left" w:pos="851"/>
        </w:tabs>
        <w:spacing w:after="0" w:line="100" w:lineRule="atLeast"/>
        <w:jc w:val="both"/>
        <w:rPr>
          <w:rFonts w:ascii="Times New Roman" w:hAnsi="Times New Roman"/>
          <w:b/>
          <w:sz w:val="24"/>
          <w:u w:val="single"/>
          <w:shd w:val="clear" w:color="auto" w:fill="FFFF00"/>
          <w:lang w:val="en-US"/>
        </w:rPr>
      </w:pPr>
      <w:r w:rsidRPr="00CB3AE7">
        <w:rPr>
          <w:rFonts w:ascii="Times New Roman" w:hAnsi="Times New Roman"/>
          <w:b/>
          <w:sz w:val="24"/>
          <w:u w:val="single"/>
          <w:shd w:val="clear" w:color="auto" w:fill="FFFF00"/>
          <w:lang w:val="en-US"/>
        </w:rPr>
        <w:t>B. Individual support</w:t>
      </w:r>
    </w:p>
    <w:p w14:paraId="5ACDA494" w14:textId="77777777" w:rsidR="00AC0C97" w:rsidRPr="0018773E" w:rsidRDefault="00AC0C97">
      <w:pPr>
        <w:tabs>
          <w:tab w:val="left" w:pos="851"/>
        </w:tabs>
        <w:spacing w:after="0" w:line="100" w:lineRule="atLeast"/>
        <w:jc w:val="both"/>
        <w:rPr>
          <w:rFonts w:ascii="Times New Roman" w:hAnsi="Times New Roman"/>
          <w:b/>
          <w:sz w:val="24"/>
          <w:szCs w:val="24"/>
        </w:rPr>
      </w:pPr>
    </w:p>
    <w:p w14:paraId="56673DC5" w14:textId="7DD3C72D" w:rsidR="0048672D" w:rsidRDefault="0048672D" w:rsidP="0048672D">
      <w:pPr>
        <w:numPr>
          <w:ilvl w:val="0"/>
          <w:numId w:val="12"/>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w:t>
      </w:r>
      <w:r w:rsidR="00AC0C97">
        <w:rPr>
          <w:rFonts w:ascii="Times New Roman" w:hAnsi="Times New Roman"/>
          <w:sz w:val="24"/>
          <w:szCs w:val="24"/>
        </w:rPr>
        <w:t xml:space="preserve">: </w:t>
      </w:r>
      <w:r w:rsidRPr="001F5BC9">
        <w:rPr>
          <w:rFonts w:ascii="Times New Roman" w:hAnsi="Times New Roman"/>
          <w:sz w:val="24"/>
          <w:szCs w:val="24"/>
        </w:rPr>
        <w:t>the grant amount is calculated by multiplying the number of</w:t>
      </w:r>
      <w:r>
        <w:rPr>
          <w:rFonts w:ascii="Times New Roman" w:hAnsi="Times New Roman"/>
          <w:sz w:val="24"/>
          <w:szCs w:val="24"/>
        </w:rPr>
        <w:t xml:space="preserve"> </w:t>
      </w:r>
      <w:r w:rsidRPr="001F5BC9">
        <w:rPr>
          <w:rFonts w:ascii="Times New Roman" w:hAnsi="Times New Roman"/>
          <w:sz w:val="24"/>
          <w:szCs w:val="24"/>
        </w:rPr>
        <w:t>days/months</w:t>
      </w:r>
      <w:r w:rsidR="001F7F2A">
        <w:rPr>
          <w:rFonts w:ascii="Times New Roman" w:hAnsi="Times New Roman"/>
          <w:sz w:val="24"/>
          <w:szCs w:val="24"/>
        </w:rPr>
        <w:t xml:space="preserve"> per</w:t>
      </w:r>
      <w:r>
        <w:rPr>
          <w:rFonts w:ascii="Times New Roman" w:hAnsi="Times New Roman"/>
          <w:sz w:val="24"/>
          <w:szCs w:val="24"/>
        </w:rPr>
        <w:t xml:space="preserve"> </w:t>
      </w:r>
      <w:r w:rsidRPr="00E9762B">
        <w:rPr>
          <w:rFonts w:ascii="Times New Roman" w:hAnsi="Times New Roman"/>
          <w:sz w:val="24"/>
          <w:szCs w:val="24"/>
        </w:rPr>
        <w:t>participant</w:t>
      </w:r>
      <w:r w:rsidR="00AC0C97">
        <w:rPr>
          <w:rFonts w:ascii="Times New Roman" w:hAnsi="Times New Roman"/>
          <w:sz w:val="24"/>
          <w:szCs w:val="24"/>
        </w:rPr>
        <w:t>,</w:t>
      </w:r>
      <w:r w:rsidRPr="00401B51">
        <w:rPr>
          <w:rFonts w:ascii="Times New Roman" w:hAnsi="Times New Roman"/>
          <w:sz w:val="24"/>
          <w:szCs w:val="24"/>
        </w:rPr>
        <w:t xml:space="preserve"> </w:t>
      </w:r>
      <w:r w:rsidRPr="00D30B05">
        <w:rPr>
          <w:rFonts w:ascii="Times New Roman" w:hAnsi="Times New Roman"/>
          <w:sz w:val="24"/>
          <w:szCs w:val="24"/>
        </w:rPr>
        <w:t>including accompanying persons</w:t>
      </w:r>
      <w:r>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sidR="00AC0C97">
        <w:rPr>
          <w:rFonts w:ascii="Times New Roman" w:hAnsi="Times New Roman"/>
          <w:sz w:val="24"/>
          <w:szCs w:val="24"/>
        </w:rPr>
        <w:t xml:space="preserve">. </w:t>
      </w:r>
      <w:r w:rsidRPr="0020364D">
        <w:rPr>
          <w:rFonts w:ascii="Times New Roman" w:hAnsi="Times New Roman"/>
          <w:sz w:val="24"/>
          <w:szCs w:val="24"/>
        </w:rPr>
        <w:t xml:space="preserve">One travel day before the activity and one travel day following the activity can be included for the calculation of </w:t>
      </w:r>
      <w:r w:rsidR="00AC0C97">
        <w:rPr>
          <w:rFonts w:ascii="Times New Roman" w:hAnsi="Times New Roman"/>
          <w:sz w:val="24"/>
          <w:szCs w:val="24"/>
        </w:rPr>
        <w:t>individual support if relevant.</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6AF3C856" w:rsidR="00B20DB0" w:rsidRDefault="00B20DB0" w:rsidP="00AC0C97">
      <w:pPr>
        <w:numPr>
          <w:ilvl w:val="0"/>
          <w:numId w:val="12"/>
        </w:num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5FDED562" w:rsidR="00B20DB0" w:rsidRPr="00B578BC" w:rsidRDefault="00B20DB0" w:rsidP="00AC0C97">
      <w:pPr>
        <w:numPr>
          <w:ilvl w:val="0"/>
          <w:numId w:val="12"/>
        </w:numPr>
        <w:spacing w:after="240" w:line="100" w:lineRule="atLeast"/>
        <w:ind w:left="567" w:hanging="425"/>
        <w:jc w:val="both"/>
        <w:rPr>
          <w:rFonts w:ascii="Times New Roman" w:hAnsi="Times New Roman"/>
          <w:color w:val="000000"/>
          <w:sz w:val="24"/>
          <w:szCs w:val="24"/>
          <w:shd w:val="clear" w:color="auto" w:fill="00FFFF"/>
        </w:rPr>
      </w:pPr>
      <w:r w:rsidRPr="00B578BC">
        <w:rPr>
          <w:rFonts w:ascii="Times New Roman" w:hAnsi="Times New Roman"/>
          <w:color w:val="000000"/>
          <w:sz w:val="24"/>
          <w:szCs w:val="24"/>
        </w:rPr>
        <w:t>Supporting documents</w:t>
      </w:r>
      <w:r w:rsidRPr="0047668B">
        <w:rPr>
          <w:rFonts w:ascii="Times New Roman" w:hAnsi="Times New Roman"/>
          <w:sz w:val="24"/>
          <w:szCs w:val="24"/>
        </w:rPr>
        <w:t>:</w:t>
      </w:r>
      <w:r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p>
    <w:p w14:paraId="6C804A6E" w14:textId="7F315A6A" w:rsidR="00954EE2" w:rsidRDefault="00B20DB0" w:rsidP="00AC0C97">
      <w:pPr>
        <w:ind w:left="567" w:hanging="425"/>
        <w:jc w:val="both"/>
      </w:pPr>
      <w:r>
        <w:rPr>
          <w:rFonts w:ascii="Times New Roman" w:hAnsi="Times New Roman"/>
          <w:sz w:val="24"/>
          <w:szCs w:val="24"/>
          <w:lang w:val="nb-NO"/>
        </w:rPr>
        <w:t xml:space="preserve">(d)   Reporting: </w:t>
      </w:r>
      <w:r w:rsidR="00AC0C97">
        <w:rPr>
          <w:rFonts w:ascii="Times New Roman" w:hAnsi="Times New Roman"/>
          <w:sz w:val="24"/>
          <w:szCs w:val="24"/>
          <w:lang w:val="nb-NO"/>
        </w:rPr>
        <w:t>P</w:t>
      </w:r>
      <w:r>
        <w:rPr>
          <w:rFonts w:ascii="Times New Roman" w:hAnsi="Times New Roman"/>
          <w:sz w:val="24"/>
          <w:szCs w:val="24"/>
        </w:rPr>
        <w:t xml:space="preserve">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6B0EF539" w14:textId="68FB6FD9" w:rsidR="00B20DB0" w:rsidRDefault="00B20DB0" w:rsidP="004C0037">
      <w:pPr>
        <w:numPr>
          <w:ilvl w:val="0"/>
          <w:numId w:val="7"/>
        </w:numPr>
        <w:spacing w:after="0" w:line="100" w:lineRule="atLeast"/>
        <w:ind w:left="709" w:hanging="56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Persons accompanying participants during their activity are not considered to be participants of mobility activities and are not considered for calculation of organisational support grant.</w:t>
      </w:r>
    </w:p>
    <w:p w14:paraId="37E277E8" w14:textId="77777777" w:rsidR="00F87693" w:rsidRDefault="00F87693" w:rsidP="00F87693">
      <w:pPr>
        <w:spacing w:after="0" w:line="100" w:lineRule="atLeast"/>
        <w:ind w:left="714"/>
        <w:jc w:val="both"/>
        <w:rPr>
          <w:rFonts w:ascii="Times New Roman" w:hAnsi="Times New Roman"/>
          <w:sz w:val="24"/>
          <w:szCs w:val="24"/>
        </w:rPr>
      </w:pPr>
    </w:p>
    <w:p w14:paraId="7DC83750" w14:textId="1F497CF2" w:rsidR="00B20DB0" w:rsidRDefault="00AC0C97" w:rsidP="00AC0C97">
      <w:pPr>
        <w:tabs>
          <w:tab w:val="left" w:pos="709"/>
        </w:tabs>
        <w:spacing w:line="100" w:lineRule="atLeast"/>
        <w:ind w:left="709"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w:t>
      </w:r>
    </w:p>
    <w:p w14:paraId="43A40498" w14:textId="04302B3C" w:rsidR="00B20DB0" w:rsidRDefault="00B20DB0" w:rsidP="00AC0C97">
      <w:pPr>
        <w:numPr>
          <w:ilvl w:val="0"/>
          <w:numId w:val="9"/>
        </w:numPr>
        <w:spacing w:line="100" w:lineRule="atLeast"/>
        <w:ind w:hanging="578"/>
        <w:jc w:val="both"/>
        <w:rPr>
          <w:rFonts w:ascii="Times New Roman" w:hAnsi="Times New Roman"/>
          <w:sz w:val="24"/>
          <w:szCs w:val="24"/>
        </w:rPr>
      </w:pPr>
      <w:r>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AC0C97">
        <w:rPr>
          <w:rFonts w:ascii="Times New Roman" w:hAnsi="Times New Roman"/>
          <w:color w:val="000000"/>
          <w:sz w:val="24"/>
          <w:szCs w:val="24"/>
        </w:rPr>
        <w:t>.</w:t>
      </w:r>
    </w:p>
    <w:p w14:paraId="66631659" w14:textId="77777777" w:rsidR="00B20DB0" w:rsidRDefault="00B20DB0">
      <w:pPr>
        <w:pStyle w:val="ListParagraph"/>
        <w:tabs>
          <w:tab w:val="left" w:pos="567"/>
        </w:tabs>
        <w:ind w:left="2160"/>
        <w:jc w:val="both"/>
        <w:rPr>
          <w:rFonts w:ascii="Times New Roman" w:hAnsi="Times New Roman" w:cs="Times New Roman"/>
          <w:sz w:val="24"/>
          <w:szCs w:val="24"/>
        </w:rPr>
      </w:pPr>
    </w:p>
    <w:p w14:paraId="52EE97A6" w14:textId="77777777" w:rsidR="00B20DB0" w:rsidRDefault="00B20DB0"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D. Course fees</w:t>
      </w:r>
      <w:r>
        <w:rPr>
          <w:rFonts w:ascii="Times New Roman" w:hAnsi="Times New Roman"/>
          <w:b/>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78FADC87" w:rsidR="00B20DB0" w:rsidRDefault="00B20DB0">
      <w:pPr>
        <w:numPr>
          <w:ilvl w:val="0"/>
          <w:numId w:val="14"/>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beneficiary </w:t>
      </w:r>
      <w:r w:rsidR="005D5EBF">
        <w:rPr>
          <w:rFonts w:ascii="Times New Roman" w:hAnsi="Times New Roman"/>
          <w:sz w:val="24"/>
          <w:szCs w:val="24"/>
        </w:rPr>
        <w:t>must</w:t>
      </w:r>
      <w:r>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5D5EBF">
        <w:rPr>
          <w:rFonts w:ascii="Times New Roman" w:hAnsi="Times New Roman"/>
          <w:sz w:val="24"/>
          <w:szCs w:val="24"/>
        </w:rPr>
        <w:t>must</w:t>
      </w:r>
      <w:r>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7B6A7A3C" w14:textId="4AEB2512" w:rsidR="00B20DB0" w:rsidRDefault="00B20DB0">
      <w:pPr>
        <w:numPr>
          <w:ilvl w:val="0"/>
          <w:numId w:val="14"/>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0C1BDDB7" w:rsidR="00B20DB0" w:rsidRPr="00AC0C97" w:rsidRDefault="00B20DB0">
      <w:pPr>
        <w:numPr>
          <w:ilvl w:val="0"/>
          <w:numId w:val="14"/>
        </w:numPr>
        <w:spacing w:line="100" w:lineRule="atLeast"/>
        <w:jc w:val="both"/>
        <w:rPr>
          <w:rFonts w:ascii="Times New Roman" w:hAnsi="Times New Roman"/>
          <w:b/>
          <w:sz w:val="24"/>
          <w:szCs w:val="24"/>
          <w:shd w:val="clear" w:color="auto" w:fill="C0C0C0"/>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r w:rsidR="00AC0C97">
        <w:rPr>
          <w:rFonts w:ascii="Times New Roman" w:hAnsi="Times New Roman"/>
          <w:sz w:val="24"/>
          <w:szCs w:val="24"/>
        </w:rPr>
        <w:t>.</w:t>
      </w:r>
    </w:p>
    <w:p w14:paraId="24157AF1" w14:textId="77777777" w:rsidR="00AC0C97" w:rsidRDefault="00AC0C97" w:rsidP="00AC0C97">
      <w:pPr>
        <w:spacing w:line="100" w:lineRule="atLeast"/>
        <w:ind w:left="720"/>
        <w:jc w:val="both"/>
        <w:rPr>
          <w:rFonts w:ascii="Times New Roman" w:hAnsi="Times New Roman"/>
          <w:b/>
          <w:sz w:val="24"/>
          <w:szCs w:val="24"/>
          <w:shd w:val="clear" w:color="auto" w:fill="C0C0C0"/>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1D1A3B31"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of 100% of the eligible costs actually incurred. </w:t>
      </w:r>
    </w:p>
    <w:p w14:paraId="247C99BF" w14:textId="4B2D6337"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21A3B1F5" w:rsidR="00B20DB0" w:rsidRDefault="00B20DB0" w:rsidP="00520B75">
      <w:pPr>
        <w:pStyle w:val="ListParagraph"/>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w:t>
      </w:r>
      <w:r w:rsidR="00AC0C97">
        <w:rPr>
          <w:rFonts w:ascii="Times New Roman" w:eastAsia="Calibri" w:hAnsi="Times New Roman" w:cs="Times New Roman"/>
          <w:sz w:val="24"/>
          <w:szCs w:val="24"/>
        </w:rPr>
        <w:t xml:space="preserve">pport for special needs support </w:t>
      </w:r>
      <w:r w:rsidRPr="00B578BC">
        <w:rPr>
          <w:rFonts w:ascii="Times New Roman" w:eastAsia="Calibri" w:hAnsi="Times New Roman" w:cs="Times New Roman"/>
          <w:sz w:val="24"/>
          <w:szCs w:val="24"/>
        </w:rPr>
        <w:t>or</w:t>
      </w:r>
      <w:r w:rsidR="005E662F" w:rsidRPr="00B578BC">
        <w:rPr>
          <w:rFonts w:ascii="Times New Roman" w:eastAsia="Calibri" w:hAnsi="Times New Roman" w:cs="Times New Roman"/>
          <w:sz w:val="24"/>
          <w:szCs w:val="24"/>
        </w:rPr>
        <w:t xml:space="preserve"> a</w:t>
      </w:r>
      <w:r w:rsidR="001C6F32" w:rsidRPr="00B578BC">
        <w:rPr>
          <w:rFonts w:ascii="Times New Roman" w:eastAsia="Calibri" w:hAnsi="Times New Roman" w:cs="Times New Roman"/>
          <w:sz w:val="24"/>
          <w:szCs w:val="24"/>
        </w:rPr>
        <w:t>n</w:t>
      </w:r>
      <w:r w:rsidR="005E662F" w:rsidRPr="00B578BC">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accompanying person</w:t>
      </w:r>
      <w:r w:rsidRPr="00B30147">
        <w:rPr>
          <w:rFonts w:ascii="Times New Roman" w:eastAsia="Calibri" w:hAnsi="Times New Roman" w:cs="Times New Roman"/>
          <w:sz w:val="24"/>
          <w:szCs w:val="24"/>
        </w:rPr>
        <w:t xml:space="preserve"> was used for any of the participants with special needs.</w:t>
      </w:r>
    </w:p>
    <w:p w14:paraId="4B9647E8" w14:textId="77777777" w:rsidR="00B20DB0" w:rsidRDefault="00B20DB0" w:rsidP="000A628D">
      <w:pPr>
        <w:pStyle w:val="ListParagraph"/>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2ECD0600" w:rsidR="00B20DB0" w:rsidRPr="009F56A7" w:rsidRDefault="00B20DB0" w:rsidP="000A628D">
      <w:pPr>
        <w:pStyle w:val="ListParagraph"/>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stParagraph"/>
        <w:rPr>
          <w:rFonts w:ascii="Times New Roman" w:hAnsi="Times New Roman"/>
          <w:sz w:val="24"/>
          <w:szCs w:val="24"/>
        </w:rPr>
      </w:pPr>
    </w:p>
    <w:p w14:paraId="36DB6185" w14:textId="77777777" w:rsidR="00B20DB0" w:rsidRDefault="00B20DB0" w:rsidP="000E18BF">
      <w:pPr>
        <w:pStyle w:val="ListParagraph"/>
        <w:numPr>
          <w:ilvl w:val="0"/>
          <w:numId w:val="37"/>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0A628D">
      <w:pPr>
        <w:pStyle w:val="ListParagraph"/>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2AB4A8C6" w14:textId="28613D85" w:rsidR="00B20DB0" w:rsidRPr="00261376" w:rsidRDefault="00B20DB0" w:rsidP="000A628D">
      <w:pPr>
        <w:pStyle w:val="ListParagraph"/>
        <w:numPr>
          <w:ilvl w:val="0"/>
          <w:numId w:val="41"/>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AC0C97">
        <w:rPr>
          <w:rFonts w:ascii="Times New Roman" w:hAnsi="Times New Roman"/>
          <w:sz w:val="24"/>
          <w:szCs w:val="24"/>
        </w:rPr>
        <w:t>.</w:t>
      </w:r>
    </w:p>
    <w:p w14:paraId="6FBB872C" w14:textId="77777777" w:rsidR="00545991" w:rsidRDefault="00545991" w:rsidP="00604941">
      <w:pPr>
        <w:pStyle w:val="ListParagraph"/>
        <w:tabs>
          <w:tab w:val="left" w:pos="851"/>
        </w:tabs>
        <w:jc w:val="both"/>
        <w:rPr>
          <w:rFonts w:ascii="Times New Roman" w:hAnsi="Times New Roman"/>
          <w:sz w:val="24"/>
          <w:szCs w:val="24"/>
        </w:rPr>
      </w:pPr>
    </w:p>
    <w:p w14:paraId="083D9B9F" w14:textId="521B53CC" w:rsidR="00B20DB0" w:rsidRDefault="00B20DB0">
      <w:pPr>
        <w:pStyle w:val="ListParagraph"/>
        <w:tabs>
          <w:tab w:val="left" w:pos="851"/>
        </w:tabs>
        <w:jc w:val="both"/>
        <w:rPr>
          <w:rFonts w:ascii="Times New Roman" w:hAnsi="Times New Roman"/>
          <w:sz w:val="24"/>
          <w:szCs w:val="24"/>
        </w:rPr>
      </w:pPr>
    </w:p>
    <w:p w14:paraId="7D6A8874" w14:textId="5206C395" w:rsidR="007F7407" w:rsidRDefault="007F7407">
      <w:pPr>
        <w:pStyle w:val="ListParagraph"/>
        <w:tabs>
          <w:tab w:val="left" w:pos="851"/>
        </w:tabs>
        <w:jc w:val="both"/>
        <w:rPr>
          <w:rFonts w:ascii="Times New Roman" w:hAnsi="Times New Roman"/>
          <w:sz w:val="24"/>
          <w:szCs w:val="24"/>
        </w:rPr>
      </w:pPr>
    </w:p>
    <w:p w14:paraId="688A1A18" w14:textId="49FE86AA" w:rsidR="007F7407" w:rsidRDefault="007F7407">
      <w:pPr>
        <w:pStyle w:val="ListParagraph"/>
        <w:tabs>
          <w:tab w:val="left" w:pos="851"/>
        </w:tabs>
        <w:jc w:val="both"/>
        <w:rPr>
          <w:rFonts w:ascii="Times New Roman" w:hAnsi="Times New Roman"/>
          <w:sz w:val="24"/>
          <w:szCs w:val="24"/>
        </w:rPr>
      </w:pPr>
    </w:p>
    <w:p w14:paraId="4481020C" w14:textId="77777777" w:rsidR="007F7407" w:rsidRDefault="007F7407">
      <w:pPr>
        <w:pStyle w:val="ListParagraph"/>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4B3B4B87" w14:textId="77777777"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2AD030FB" w14:textId="77777777" w:rsidR="00B20DB0" w:rsidRDefault="00B20DB0" w:rsidP="00604941">
      <w:pPr>
        <w:numPr>
          <w:ilvl w:val="1"/>
          <w:numId w:val="118"/>
        </w:numPr>
        <w:jc w:val="both"/>
      </w:pPr>
      <w:r>
        <w:rPr>
          <w:rFonts w:ascii="Times New Roman" w:hAnsi="Times New Roman"/>
          <w:sz w:val="24"/>
          <w:szCs w:val="24"/>
        </w:rPr>
        <w:t>The extent to which the action was implemented in line with the approved grant application</w:t>
      </w:r>
    </w:p>
    <w:p w14:paraId="0FF3E800"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of the learning outcomes and impact on participants</w:t>
      </w:r>
    </w:p>
    <w:p w14:paraId="1B18012C" w14:textId="77777777" w:rsidR="00B20DB0" w:rsidRDefault="00B20DB0" w:rsidP="00604941">
      <w:pPr>
        <w:numPr>
          <w:ilvl w:val="1"/>
          <w:numId w:val="118"/>
        </w:numPr>
        <w:jc w:val="both"/>
      </w:pPr>
      <w:r>
        <w:rPr>
          <w:rFonts w:ascii="Times New Roman" w:hAnsi="Times New Roman"/>
          <w:sz w:val="24"/>
          <w:szCs w:val="24"/>
        </w:rPr>
        <w:t>The impact on the participating organisations</w:t>
      </w:r>
    </w:p>
    <w:p w14:paraId="02F1BF2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F3F815B" w14:textId="77777777" w:rsidR="00B20DB0" w:rsidRDefault="00B20DB0" w:rsidP="00604941">
      <w:pPr>
        <w:numPr>
          <w:ilvl w:val="1"/>
          <w:numId w:val="118"/>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14:paraId="235B19B2" w14:textId="5A6C734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 xml:space="preserve">A grant reduction based on poor, partial or late implementation may be applied to the final amount of </w:t>
      </w:r>
      <w:r w:rsidR="00524024">
        <w:rPr>
          <w:rFonts w:ascii="Times New Roman" w:hAnsi="Times New Roman"/>
          <w:sz w:val="24"/>
          <w:szCs w:val="24"/>
        </w:rPr>
        <w:t xml:space="preserve">organisational support </w:t>
      </w:r>
      <w:r>
        <w:rPr>
          <w:rFonts w:ascii="Times New Roman" w:hAnsi="Times New Roman"/>
          <w:sz w:val="24"/>
          <w:szCs w:val="24"/>
        </w:rPr>
        <w:t>and may be of:</w:t>
      </w:r>
    </w:p>
    <w:p w14:paraId="78F58B17" w14:textId="77777777" w:rsidR="00B20DB0" w:rsidRDefault="00B20DB0" w:rsidP="00AC0C97">
      <w:pPr>
        <w:numPr>
          <w:ilvl w:val="1"/>
          <w:numId w:val="123"/>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77777777" w:rsidR="00B20DB0" w:rsidRDefault="00B20DB0" w:rsidP="00AC0C97">
      <w:pPr>
        <w:numPr>
          <w:ilvl w:val="1"/>
          <w:numId w:val="123"/>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78248CEA" w:rsidR="00B20DB0" w:rsidRPr="00AC0C97" w:rsidRDefault="00B20DB0" w:rsidP="00AC0C97">
      <w:pPr>
        <w:numPr>
          <w:ilvl w:val="1"/>
          <w:numId w:val="123"/>
        </w:numPr>
        <w:tabs>
          <w:tab w:val="left" w:pos="1418"/>
        </w:tabs>
        <w:spacing w:after="0"/>
        <w:ind w:left="1434" w:hanging="357"/>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2D3EEFD6" w14:textId="77777777" w:rsidR="00AC0C97" w:rsidRDefault="00AC0C97" w:rsidP="00AC0C97">
      <w:pPr>
        <w:tabs>
          <w:tab w:val="left" w:pos="1418"/>
        </w:tabs>
        <w:spacing w:after="0"/>
        <w:ind w:left="1434"/>
        <w:jc w:val="both"/>
        <w:rPr>
          <w:rFonts w:ascii="Times New Roman" w:hAnsi="Times New Roman"/>
          <w:b/>
          <w:sz w:val="24"/>
          <w:szCs w:val="24"/>
          <w:shd w:val="clear" w:color="auto" w:fill="00FFFF"/>
        </w:rPr>
      </w:pP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4586E3DB"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 xml:space="preserve">V. GRANT MODIFICATIONS </w:t>
      </w:r>
    </w:p>
    <w:p w14:paraId="025F7293" w14:textId="77777777"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14:paraId="22BB136C" w14:textId="77777777" w:rsidR="00B20DB0" w:rsidRDefault="00B20DB0">
      <w:pPr>
        <w:widowControl w:val="0"/>
        <w:spacing w:after="0" w:line="273" w:lineRule="auto"/>
        <w:jc w:val="both"/>
        <w:rPr>
          <w:rFonts w:ascii="Times New Roman" w:hAnsi="Times New Roman"/>
          <w:sz w:val="24"/>
          <w:szCs w:val="24"/>
        </w:rPr>
      </w:pPr>
    </w:p>
    <w:p w14:paraId="7DE4DB8B"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4FC75503" w14:textId="77777777" w:rsidR="00B20DB0" w:rsidRDefault="00B20DB0">
      <w:pPr>
        <w:widowControl w:val="0"/>
        <w:spacing w:after="0" w:line="273" w:lineRule="auto"/>
        <w:jc w:val="both"/>
        <w:rPr>
          <w:rFonts w:ascii="Times New Roman" w:hAnsi="Times New Roman"/>
          <w:sz w:val="24"/>
          <w:szCs w:val="24"/>
        </w:rPr>
      </w:pPr>
    </w:p>
    <w:p w14:paraId="2D153520"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21A3C8B8" w14:textId="77777777" w:rsidR="00B20DB0" w:rsidRDefault="00B20DB0">
      <w:pPr>
        <w:widowControl w:val="0"/>
        <w:spacing w:after="0" w:line="273" w:lineRule="auto"/>
        <w:ind w:left="1080"/>
        <w:jc w:val="both"/>
        <w:rPr>
          <w:rFonts w:ascii="Times New Roman" w:hAnsi="Times New Roman"/>
          <w:sz w:val="24"/>
          <w:szCs w:val="24"/>
        </w:rPr>
      </w:pPr>
    </w:p>
    <w:p w14:paraId="2358083F" w14:textId="77777777" w:rsidR="00B20DB0" w:rsidRDefault="00B20DB0">
      <w:pPr>
        <w:widowControl w:val="0"/>
        <w:numPr>
          <w:ilvl w:val="0"/>
          <w:numId w:val="55"/>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752A536C"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14:paraId="73CF595C" w14:textId="77777777" w:rsidR="00B20DB0" w:rsidRDefault="00B20DB0">
      <w:pPr>
        <w:widowControl w:val="0"/>
        <w:spacing w:after="0" w:line="273" w:lineRule="auto"/>
        <w:ind w:left="720"/>
        <w:jc w:val="both"/>
        <w:rPr>
          <w:rFonts w:ascii="Times New Roman" w:hAnsi="Times New Roman"/>
          <w:sz w:val="24"/>
          <w:szCs w:val="24"/>
        </w:rPr>
      </w:pPr>
    </w:p>
    <w:p w14:paraId="74A40A64" w14:textId="77777777"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14:paraId="542F94CA" w14:textId="20807396" w:rsidR="00B20DB0" w:rsidRDefault="00B20DB0" w:rsidP="00B578BC">
      <w:pPr>
        <w:ind w:left="720"/>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4B210152"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w:t>
      </w:r>
      <w:r w:rsidR="00E51EDB">
        <w:rPr>
          <w:rFonts w:ascii="Times New Roman" w:hAnsi="Times New Roman"/>
          <w:sz w:val="24"/>
          <w:szCs w:val="24"/>
        </w:rPr>
        <w:t xml:space="preserve">ts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stParagraph"/>
        <w:numPr>
          <w:ilvl w:val="1"/>
          <w:numId w:val="57"/>
        </w:numPr>
        <w:jc w:val="both"/>
      </w:pPr>
      <w:r>
        <w:rPr>
          <w:rFonts w:ascii="Times New Roman" w:hAnsi="Times New Roman"/>
          <w:kern w:val="1"/>
          <w:sz w:val="24"/>
          <w:szCs w:val="24"/>
        </w:rPr>
        <w:t>Travel</w:t>
      </w:r>
    </w:p>
    <w:p w14:paraId="728AF932" w14:textId="014C1599"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pPr>
        <w:pStyle w:val="ListParagraph"/>
        <w:numPr>
          <w:ilvl w:val="1"/>
          <w:numId w:val="57"/>
        </w:numPr>
        <w:jc w:val="both"/>
      </w:pPr>
      <w:r>
        <w:rPr>
          <w:rFonts w:ascii="Times New Roman" w:hAnsi="Times New Roman"/>
          <w:kern w:val="1"/>
          <w:sz w:val="24"/>
          <w:szCs w:val="24"/>
        </w:rPr>
        <w:t>Organisational support</w:t>
      </w:r>
    </w:p>
    <w:p w14:paraId="4A53246B" w14:textId="71112D75" w:rsidR="00B20DB0" w:rsidRDefault="00B20DB0">
      <w:pPr>
        <w:pStyle w:val="ListParagraph"/>
        <w:numPr>
          <w:ilvl w:val="1"/>
          <w:numId w:val="57"/>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13043720"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w:t>
      </w:r>
      <w:r w:rsidR="00EC756F">
        <w:rPr>
          <w:rFonts w:ascii="Times New Roman" w:eastAsia="SimSun" w:hAnsi="Times New Roman"/>
          <w:kern w:val="1"/>
          <w:sz w:val="24"/>
          <w:szCs w:val="24"/>
        </w:rPr>
        <w:t>ct activities and participants.</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4405FEAF" w14:textId="128982D9" w:rsidR="00B20DB0" w:rsidRDefault="00B20DB0" w:rsidP="00597A80">
      <w:pPr>
        <w:jc w:val="both"/>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w:t>
      </w:r>
      <w:r w:rsidR="00EC756F">
        <w:rPr>
          <w:rFonts w:ascii="Times New Roman" w:eastAsia="SimSun" w:hAnsi="Times New Roman"/>
          <w:kern w:val="1"/>
          <w:sz w:val="24"/>
          <w:szCs w:val="24"/>
        </w:rPr>
        <w:t>N</w:t>
      </w:r>
      <w:r>
        <w:rPr>
          <w:rFonts w:ascii="Times New Roman" w:eastAsia="SimSun" w:hAnsi="Times New Roman"/>
          <w:kern w:val="1"/>
          <w:sz w:val="24"/>
          <w:szCs w:val="24"/>
        </w:rPr>
        <w:t>ational Agency access to the recording of project expenses in the beneficiary accounts.</w:t>
      </w:r>
    </w:p>
    <w:sectPr w:rsidR="00B20DB0" w:rsidSect="00E66DE7">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AB16" w14:textId="77777777" w:rsidR="00D1297D" w:rsidRDefault="00D1297D">
      <w:pPr>
        <w:spacing w:after="0" w:line="240" w:lineRule="auto"/>
      </w:pPr>
      <w:r>
        <w:separator/>
      </w:r>
    </w:p>
  </w:endnote>
  <w:endnote w:type="continuationSeparator" w:id="0">
    <w:p w14:paraId="51995A6E" w14:textId="77777777" w:rsidR="00D1297D" w:rsidRDefault="00D1297D">
      <w:pPr>
        <w:spacing w:after="0" w:line="240" w:lineRule="auto"/>
      </w:pPr>
      <w:r>
        <w:continuationSeparator/>
      </w:r>
    </w:p>
  </w:endnote>
  <w:endnote w:type="continuationNotice" w:id="1">
    <w:p w14:paraId="3DAA1C63" w14:textId="77777777" w:rsidR="00D1297D" w:rsidRDefault="00D12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4A8" w14:textId="30405C78" w:rsidR="00EA30CF" w:rsidRDefault="00EA30CF">
    <w:pPr>
      <w:pStyle w:val="Footer"/>
      <w:jc w:val="right"/>
    </w:pPr>
    <w:r>
      <w:fldChar w:fldCharType="begin"/>
    </w:r>
    <w:r>
      <w:instrText xml:space="preserve"> PAGE   \* MERGEFORMAT </w:instrText>
    </w:r>
    <w:r>
      <w:fldChar w:fldCharType="separate"/>
    </w:r>
    <w:r w:rsidR="00BC1825">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9EC0" w14:textId="77777777" w:rsidR="00D1297D" w:rsidRDefault="00D1297D">
      <w:pPr>
        <w:spacing w:after="0" w:line="240" w:lineRule="auto"/>
      </w:pPr>
      <w:r>
        <w:separator/>
      </w:r>
    </w:p>
  </w:footnote>
  <w:footnote w:type="continuationSeparator" w:id="0">
    <w:p w14:paraId="4FCD428C" w14:textId="77777777" w:rsidR="00D1297D" w:rsidRDefault="00D1297D">
      <w:pPr>
        <w:spacing w:after="0" w:line="240" w:lineRule="auto"/>
      </w:pPr>
      <w:r>
        <w:continuationSeparator/>
      </w:r>
    </w:p>
  </w:footnote>
  <w:footnote w:type="continuationNotice" w:id="1">
    <w:p w14:paraId="6F393341" w14:textId="77777777" w:rsidR="00D1297D" w:rsidRDefault="00D129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5DD1" w14:textId="77777777" w:rsidR="0094138C" w:rsidRDefault="00941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78F260F8"/>
    <w:lvl w:ilvl="0">
      <w:start w:val="3"/>
      <w:numFmt w:val="lowerLetter"/>
      <w:lvlText w:val="(%1)"/>
      <w:lvlJc w:val="left"/>
      <w:pPr>
        <w:tabs>
          <w:tab w:val="num" w:pos="0"/>
        </w:tabs>
        <w:ind w:left="720" w:hanging="360"/>
      </w:pPr>
      <w:rPr>
        <w:rFonts w:hint="default"/>
        <w:b w:val="0"/>
      </w:rPr>
    </w:lvl>
    <w:lvl w:ilvl="1">
      <w:start w:val="2"/>
      <w:numFmt w:val="lowerRoman"/>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5"/>
    <w:multiLevelType w:val="multilevel"/>
    <w:tmpl w:val="49CA2494"/>
    <w:name w:val="WWNum36"/>
    <w:lvl w:ilvl="0">
      <w:start w:val="1"/>
      <w:numFmt w:val="lowerLetter"/>
      <w:lvlText w:val="(%1)"/>
      <w:lvlJc w:val="left"/>
      <w:pPr>
        <w:tabs>
          <w:tab w:val="num" w:pos="0"/>
        </w:tabs>
        <w:ind w:left="720" w:hanging="360"/>
      </w:pPr>
      <w:rPr>
        <w:rFonts w:ascii="Times New Roman" w:hAnsi="Times New Roman"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7F7407"/>
    <w:rsid w:val="00801E7F"/>
    <w:rsid w:val="008060B2"/>
    <w:rsid w:val="00811036"/>
    <w:rsid w:val="00811838"/>
    <w:rsid w:val="00815034"/>
    <w:rsid w:val="00821161"/>
    <w:rsid w:val="00821E8E"/>
    <w:rsid w:val="00821EBD"/>
    <w:rsid w:val="0083055A"/>
    <w:rsid w:val="00830F6E"/>
    <w:rsid w:val="00836E9A"/>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2A2"/>
    <w:rsid w:val="00A777FD"/>
    <w:rsid w:val="00A809FD"/>
    <w:rsid w:val="00A8124A"/>
    <w:rsid w:val="00A8472E"/>
    <w:rsid w:val="00A85502"/>
    <w:rsid w:val="00A902B2"/>
    <w:rsid w:val="00A94B50"/>
    <w:rsid w:val="00A964B2"/>
    <w:rsid w:val="00A96578"/>
    <w:rsid w:val="00AB0D43"/>
    <w:rsid w:val="00AB49C7"/>
    <w:rsid w:val="00AC0C9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182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D6548"/>
    <w:rsid w:val="00CD6A48"/>
    <w:rsid w:val="00CE2004"/>
    <w:rsid w:val="00CF3AA1"/>
    <w:rsid w:val="00D1297D"/>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1EDB"/>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0E9E"/>
    <w:rsid w:val="00EC1B0B"/>
    <w:rsid w:val="00EC756F"/>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8F1D2AF9-124E-41F0-86CD-0516E832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17246</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Thekla Christodoulidou</cp:lastModifiedBy>
  <cp:revision>2</cp:revision>
  <cp:lastPrinted>2019-12-10T09:09:00Z</cp:lastPrinted>
  <dcterms:created xsi:type="dcterms:W3CDTF">2020-06-22T10:50:00Z</dcterms:created>
  <dcterms:modified xsi:type="dcterms:W3CDTF">2020-06-22T10:50:00Z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