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8EC6" w14:textId="77777777"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stBullet"/>
        <w:rPr>
          <w:lang w:val="en-US"/>
        </w:rPr>
      </w:pPr>
    </w:p>
    <w:p w14:paraId="3429F7DF" w14:textId="77777777"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7152DB">
      <w:pPr>
        <w:pStyle w:val="ListParagraph"/>
        <w:numPr>
          <w:ilvl w:val="0"/>
          <w:numId w:val="21"/>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11483989" w:rsidR="00B20DB0" w:rsidRDefault="00B20DB0" w:rsidP="007152DB">
      <w:pPr>
        <w:numPr>
          <w:ilvl w:val="0"/>
          <w:numId w:val="24"/>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Calculation of th</w:t>
      </w:r>
      <w:r w:rsidR="007152DB">
        <w:rPr>
          <w:rFonts w:ascii="Times New Roman" w:hAnsi="Times New Roman"/>
          <w:sz w:val="24"/>
          <w:szCs w:val="24"/>
        </w:rPr>
        <w:t xml:space="preserve">e grant amount for travel costs: </w:t>
      </w:r>
      <w:r>
        <w:rPr>
          <w:rFonts w:ascii="Times New Roman" w:hAnsi="Times New Roman"/>
          <w:sz w:val="24"/>
          <w:szCs w:val="24"/>
        </w:rPr>
        <w:t>the grant amount is calculated by multiplying the number of participants per distance band,</w:t>
      </w:r>
      <w:r w:rsidRPr="00B578BC">
        <w:rPr>
          <w:rFonts w:ascii="Times New Roman" w:hAnsi="Times New Roman"/>
          <w:sz w:val="24"/>
          <w:szCs w:val="24"/>
        </w:rPr>
        <w:t xml:space="preserve"> including accompanying persons,</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3522FFD4" w14:textId="77777777" w:rsidR="00B20DB0" w:rsidRDefault="00B20DB0" w:rsidP="0051078E">
      <w:pPr>
        <w:pStyle w:val="ListParagraph"/>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907949" w:rsidP="0051078E">
      <w:pPr>
        <w:spacing w:after="0"/>
        <w:ind w:left="567"/>
        <w:jc w:val="both"/>
        <w:rPr>
          <w:rFonts w:ascii="Times New Roman" w:hAnsi="Times New Roman"/>
          <w:sz w:val="24"/>
          <w:szCs w:val="24"/>
        </w:rPr>
      </w:pPr>
      <w:hyperlink r:id="rId13"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3B3255D5" w:rsidR="00B20DB0" w:rsidRDefault="00B20DB0" w:rsidP="007152DB">
      <w:pPr>
        <w:numPr>
          <w:ilvl w:val="0"/>
          <w:numId w:val="3"/>
        </w:numPr>
        <w:spacing w:line="100" w:lineRule="atLeast"/>
        <w:ind w:left="567" w:hanging="425"/>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5962538" w14:textId="52854E2B" w:rsidR="00F87693" w:rsidRPr="00B578BC" w:rsidRDefault="007152DB" w:rsidP="007152DB">
      <w:pPr>
        <w:numPr>
          <w:ilvl w:val="0"/>
          <w:numId w:val="3"/>
        </w:numPr>
        <w:spacing w:after="0" w:line="100" w:lineRule="atLeast"/>
        <w:ind w:left="567" w:hanging="425"/>
        <w:jc w:val="both"/>
        <w:rPr>
          <w:rFonts w:ascii="Times New Roman" w:hAnsi="Times New Roman"/>
          <w:color w:val="000000"/>
          <w:sz w:val="24"/>
          <w:szCs w:val="24"/>
        </w:rPr>
      </w:pPr>
      <w:r>
        <w:rPr>
          <w:rFonts w:ascii="Times New Roman" w:eastAsia="Times New Roman" w:hAnsi="Times New Roman"/>
          <w:color w:val="000000"/>
          <w:sz w:val="24"/>
          <w:szCs w:val="24"/>
        </w:rPr>
        <w:t xml:space="preserve">Supporting documents: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2DE35EFA" w14:textId="6D35BFAF" w:rsidR="007259FE" w:rsidRDefault="007259FE" w:rsidP="007259FE">
      <w:pPr>
        <w:ind w:left="709" w:hanging="567"/>
        <w:jc w:val="both"/>
        <w:rPr>
          <w:rFonts w:ascii="Times New Roman" w:hAnsi="Times New Roman"/>
          <w:sz w:val="24"/>
          <w:szCs w:val="24"/>
        </w:rPr>
      </w:pPr>
      <w:r>
        <w:rPr>
          <w:rFonts w:ascii="Times New Roman" w:hAnsi="Times New Roman"/>
          <w:sz w:val="24"/>
          <w:szCs w:val="24"/>
        </w:rPr>
        <w:t xml:space="preserve">(d)  Reporting: </w:t>
      </w:r>
    </w:p>
    <w:p w14:paraId="06BF7517" w14:textId="55FCED4E" w:rsidR="007259FE" w:rsidRPr="007152DB" w:rsidRDefault="007259FE" w:rsidP="007152DB">
      <w:pPr>
        <w:ind w:left="567"/>
        <w:jc w:val="both"/>
        <w:rPr>
          <w:rFonts w:ascii="Times New Roman" w:hAnsi="Times New Roman"/>
          <w:sz w:val="24"/>
          <w:szCs w:val="24"/>
        </w:rPr>
      </w:pPr>
      <w:r w:rsidRPr="007152DB">
        <w:rPr>
          <w:rFonts w:ascii="Times New Roman" w:hAnsi="Times New Roman"/>
          <w:sz w:val="24"/>
          <w:szCs w:val="24"/>
        </w:rPr>
        <w:t xml:space="preserve">In case of Advance Planning Visits to hosting partners where no ErasmusPro activities were organised as a result, the beneficiary shall submit a justification to the National Agency explaining the reasons for not implementing ErasmusPro activities with this hosting partner. </w:t>
      </w:r>
      <w:r w:rsidR="000657E4" w:rsidRPr="007152DB">
        <w:rPr>
          <w:rFonts w:ascii="Times New Roman" w:hAnsi="Times New Roman"/>
          <w:sz w:val="24"/>
          <w:szCs w:val="24"/>
        </w:rPr>
        <w:t xml:space="preserve">As </w:t>
      </w:r>
      <w:r w:rsidR="00954EE2" w:rsidRPr="007152DB">
        <w:rPr>
          <w:rFonts w:ascii="Times New Roman" w:hAnsi="Times New Roman"/>
          <w:sz w:val="24"/>
          <w:szCs w:val="24"/>
        </w:rPr>
        <w:t>derogation</w:t>
      </w:r>
      <w:r w:rsidRPr="007152DB">
        <w:rPr>
          <w:rFonts w:ascii="Times New Roman" w:hAnsi="Times New Roman"/>
          <w:sz w:val="24"/>
          <w:szCs w:val="24"/>
        </w:rPr>
        <w:t xml:space="preserve"> </w:t>
      </w:r>
      <w:r w:rsidR="000657E4" w:rsidRPr="007152DB">
        <w:rPr>
          <w:rFonts w:ascii="Times New Roman" w:hAnsi="Times New Roman"/>
          <w:sz w:val="24"/>
          <w:szCs w:val="24"/>
        </w:rPr>
        <w:t>from</w:t>
      </w:r>
      <w:r w:rsidRPr="007152DB">
        <w:rPr>
          <w:rFonts w:ascii="Times New Roman" w:hAnsi="Times New Roman"/>
          <w:sz w:val="24"/>
          <w:szCs w:val="24"/>
        </w:rPr>
        <w:t xml:space="preserve"> Article III o</w:t>
      </w:r>
      <w:r w:rsidR="00CA28B6" w:rsidRPr="007152DB">
        <w:rPr>
          <w:rFonts w:ascii="Times New Roman" w:hAnsi="Times New Roman"/>
          <w:sz w:val="24"/>
          <w:szCs w:val="24"/>
        </w:rPr>
        <w:t>f</w:t>
      </w:r>
      <w:r w:rsidRPr="007152DB">
        <w:rPr>
          <w:rFonts w:ascii="Times New Roman" w:hAnsi="Times New Roman"/>
          <w:sz w:val="24"/>
          <w:szCs w:val="24"/>
        </w:rPr>
        <w:t xml:space="preserve"> this Annex, the National Agency may approve such a request based on this justification.</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1F6BB66F" w:rsidR="00B20DB0" w:rsidRDefault="00B20DB0">
      <w:pPr>
        <w:tabs>
          <w:tab w:val="left" w:pos="851"/>
        </w:tabs>
        <w:spacing w:after="0" w:line="100" w:lineRule="atLeast"/>
        <w:jc w:val="both"/>
        <w:rPr>
          <w:rFonts w:ascii="Times New Roman" w:hAnsi="Times New Roman"/>
          <w:b/>
          <w:sz w:val="24"/>
          <w:u w:val="single"/>
          <w:shd w:val="clear" w:color="auto" w:fill="FFFF00"/>
          <w:lang w:val="en-US"/>
        </w:rPr>
      </w:pPr>
      <w:r w:rsidRPr="00CB3AE7">
        <w:rPr>
          <w:rFonts w:ascii="Times New Roman" w:hAnsi="Times New Roman"/>
          <w:b/>
          <w:sz w:val="24"/>
          <w:u w:val="single"/>
          <w:shd w:val="clear" w:color="auto" w:fill="FFFF00"/>
          <w:lang w:val="en-US"/>
        </w:rPr>
        <w:t>B. Individual support</w:t>
      </w:r>
    </w:p>
    <w:p w14:paraId="02427A9F" w14:textId="77777777" w:rsidR="007152DB" w:rsidRPr="0018773E" w:rsidRDefault="007152DB">
      <w:pPr>
        <w:tabs>
          <w:tab w:val="left" w:pos="851"/>
        </w:tabs>
        <w:spacing w:after="0" w:line="100" w:lineRule="atLeast"/>
        <w:jc w:val="both"/>
        <w:rPr>
          <w:rFonts w:ascii="Times New Roman" w:hAnsi="Times New Roman"/>
          <w:b/>
          <w:sz w:val="24"/>
          <w:szCs w:val="24"/>
        </w:rPr>
      </w:pPr>
    </w:p>
    <w:p w14:paraId="56673DC5" w14:textId="16E5ABD0" w:rsidR="0048672D" w:rsidRDefault="0048672D" w:rsidP="007152DB">
      <w:pPr>
        <w:numPr>
          <w:ilvl w:val="0"/>
          <w:numId w:val="7"/>
        </w:numPr>
        <w:spacing w:line="100" w:lineRule="atLeast"/>
        <w:ind w:left="567" w:hanging="567"/>
        <w:jc w:val="both"/>
        <w:rPr>
          <w:rFonts w:ascii="Times New Roman" w:hAnsi="Times New Roman"/>
          <w:sz w:val="24"/>
          <w:szCs w:val="24"/>
        </w:rPr>
      </w:pPr>
      <w:r w:rsidRPr="001F5BC9">
        <w:rPr>
          <w:rFonts w:ascii="Times New Roman" w:hAnsi="Times New Roman"/>
          <w:sz w:val="24"/>
          <w:szCs w:val="24"/>
        </w:rPr>
        <w:t>Calculation of the grant amount: the grant amount is calculated by multiplying the number of</w:t>
      </w:r>
      <w:r>
        <w:rPr>
          <w:rFonts w:ascii="Times New Roman" w:hAnsi="Times New Roman"/>
          <w:sz w:val="24"/>
          <w:szCs w:val="24"/>
        </w:rPr>
        <w:t xml:space="preserve"> </w:t>
      </w:r>
      <w:r w:rsidRPr="001F5BC9">
        <w:rPr>
          <w:rFonts w:ascii="Times New Roman" w:hAnsi="Times New Roman"/>
          <w:sz w:val="24"/>
          <w:szCs w:val="24"/>
        </w:rPr>
        <w:t>days/months</w:t>
      </w:r>
      <w:r w:rsidR="001F7F2A">
        <w:rPr>
          <w:rFonts w:ascii="Times New Roman" w:hAnsi="Times New Roman"/>
          <w:sz w:val="24"/>
          <w:szCs w:val="24"/>
        </w:rPr>
        <w:t xml:space="preserve"> per</w:t>
      </w:r>
      <w:r>
        <w:rPr>
          <w:rFonts w:ascii="Times New Roman" w:hAnsi="Times New Roman"/>
          <w:sz w:val="24"/>
          <w:szCs w:val="24"/>
        </w:rPr>
        <w:t xml:space="preserve"> </w:t>
      </w:r>
      <w:r w:rsidRPr="00E9762B">
        <w:rPr>
          <w:rFonts w:ascii="Times New Roman" w:hAnsi="Times New Roman"/>
          <w:sz w:val="24"/>
          <w:szCs w:val="24"/>
        </w:rPr>
        <w:t>participant</w:t>
      </w:r>
      <w:r w:rsidR="007152DB">
        <w:rPr>
          <w:rFonts w:ascii="Times New Roman" w:hAnsi="Times New Roman"/>
          <w:sz w:val="24"/>
          <w:szCs w:val="24"/>
        </w:rPr>
        <w:t xml:space="preserve">, </w:t>
      </w:r>
      <w:r w:rsidRPr="00D30B05">
        <w:rPr>
          <w:rFonts w:ascii="Times New Roman" w:hAnsi="Times New Roman"/>
          <w:sz w:val="24"/>
          <w:szCs w:val="24"/>
        </w:rPr>
        <w:t>including accompanying persons</w:t>
      </w:r>
      <w:r>
        <w:rPr>
          <w:rFonts w:ascii="Times New Roman" w:eastAsia="Times New Roman" w:hAnsi="Times New Roman"/>
          <w:sz w:val="24"/>
          <w:szCs w:val="24"/>
        </w:rPr>
        <w:t>,</w:t>
      </w:r>
      <w:r w:rsidRPr="001A6DB7">
        <w:rPr>
          <w:rFonts w:ascii="Times New Roman" w:hAnsi="Times New Roman"/>
          <w:sz w:val="24"/>
          <w:szCs w:val="24"/>
        </w:rPr>
        <w:t xml:space="preserve"> by the unit contribution applicable per day/month for the receiving country concerned as specified in Annex IV of the Agreement.</w:t>
      </w:r>
      <w:r w:rsidR="007152DB">
        <w:rPr>
          <w:rFonts w:ascii="Times New Roman" w:hAnsi="Times New Roman"/>
          <w:sz w:val="24"/>
          <w:szCs w:val="24"/>
        </w:rPr>
        <w:t xml:space="preserve"> </w:t>
      </w:r>
      <w:r w:rsidRPr="0020364D">
        <w:rPr>
          <w:rFonts w:ascii="Times New Roman" w:hAnsi="Times New Roman"/>
          <w:sz w:val="24"/>
          <w:szCs w:val="24"/>
        </w:rPr>
        <w:t xml:space="preserve">One travel day before the activity and one travel day following the activity can be included for the calculation of </w:t>
      </w:r>
      <w:r w:rsidR="007152DB">
        <w:rPr>
          <w:rFonts w:ascii="Times New Roman" w:hAnsi="Times New Roman"/>
          <w:sz w:val="24"/>
          <w:szCs w:val="24"/>
        </w:rPr>
        <w:t>individual support if relevant.</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6AF3C856" w:rsidR="00B20DB0" w:rsidRDefault="00B20DB0" w:rsidP="007152DB">
      <w:pPr>
        <w:numPr>
          <w:ilvl w:val="0"/>
          <w:numId w:val="7"/>
        </w:num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5D221B65" w:rsidR="00B20DB0" w:rsidRPr="00B578BC" w:rsidRDefault="00B20DB0" w:rsidP="007152DB">
      <w:pPr>
        <w:numPr>
          <w:ilvl w:val="0"/>
          <w:numId w:val="7"/>
        </w:numPr>
        <w:spacing w:after="240" w:line="100" w:lineRule="atLeast"/>
        <w:ind w:left="567" w:hanging="567"/>
        <w:jc w:val="both"/>
        <w:rPr>
          <w:rFonts w:ascii="Times New Roman" w:hAnsi="Times New Roman"/>
          <w:color w:val="000000"/>
          <w:sz w:val="24"/>
          <w:szCs w:val="24"/>
          <w:shd w:val="clear" w:color="auto" w:fill="00FFFF"/>
        </w:rPr>
      </w:pPr>
      <w:r w:rsidRPr="00B578BC">
        <w:rPr>
          <w:rFonts w:ascii="Times New Roman" w:hAnsi="Times New Roman"/>
          <w:color w:val="000000"/>
          <w:sz w:val="24"/>
          <w:szCs w:val="24"/>
        </w:rPr>
        <w:t>Supporting documents</w:t>
      </w:r>
      <w:r w:rsidRPr="0047668B">
        <w:rPr>
          <w:rFonts w:ascii="Times New Roman" w:hAnsi="Times New Roman"/>
          <w:sz w:val="24"/>
          <w:szCs w:val="24"/>
        </w:rPr>
        <w:t>:</w:t>
      </w:r>
      <w:r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p>
    <w:p w14:paraId="53F15615" w14:textId="76B00670" w:rsidR="00B20DB0" w:rsidRDefault="00B20DB0" w:rsidP="007152DB">
      <w:pPr>
        <w:ind w:left="567" w:hanging="567"/>
        <w:jc w:val="both"/>
        <w:rPr>
          <w:rFonts w:ascii="Times New Roman" w:hAnsi="Times New Roman"/>
          <w:sz w:val="24"/>
          <w:szCs w:val="24"/>
        </w:rPr>
      </w:pPr>
      <w:r>
        <w:rPr>
          <w:rFonts w:ascii="Times New Roman" w:hAnsi="Times New Roman"/>
          <w:sz w:val="24"/>
          <w:szCs w:val="24"/>
          <w:lang w:val="nb-NO"/>
        </w:rPr>
        <w:t xml:space="preserve">(d)    Reporting: </w:t>
      </w:r>
    </w:p>
    <w:p w14:paraId="6C804A6E" w14:textId="5206FA87"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p>
    <w:p w14:paraId="10B43FE5" w14:textId="52A7ACC8" w:rsidR="00954EE2" w:rsidRPr="003625B0" w:rsidRDefault="00954EE2" w:rsidP="00AD7433">
      <w:pPr>
        <w:numPr>
          <w:ilvl w:val="0"/>
          <w:numId w:val="4"/>
        </w:numPr>
        <w:tabs>
          <w:tab w:val="left" w:pos="993"/>
        </w:tabs>
        <w:ind w:left="993"/>
        <w:jc w:val="both"/>
      </w:pPr>
      <w:r w:rsidRPr="00A12BCD">
        <w:rPr>
          <w:rFonts w:ascii="Times New Roman" w:hAnsi="Times New Roman"/>
          <w:sz w:val="24"/>
          <w:szCs w:val="24"/>
        </w:rPr>
        <w:t>In cas</w:t>
      </w:r>
      <w:r w:rsidRPr="003625B0">
        <w:rPr>
          <w:rFonts w:ascii="Times New Roman" w:hAnsi="Times New Roman"/>
          <w:sz w:val="24"/>
          <w:szCs w:val="24"/>
        </w:rPr>
        <w:t>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sidR="007152DB">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6B0EF539" w14:textId="414D25FB" w:rsidR="00B20DB0" w:rsidRDefault="00B20DB0" w:rsidP="007152DB">
      <w:pPr>
        <w:numPr>
          <w:ilvl w:val="0"/>
          <w:numId w:val="5"/>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 xml:space="preserve">Persons accompanying participants during their activity </w:t>
      </w:r>
      <w:r w:rsidR="007A2854" w:rsidRPr="00B578BC">
        <w:rPr>
          <w:rFonts w:ascii="Times New Roman" w:hAnsi="Times New Roman"/>
          <w:sz w:val="24"/>
          <w:szCs w:val="24"/>
        </w:rPr>
        <w:t>and persons taking part in Advance Planning Visits</w:t>
      </w:r>
      <w:r w:rsidR="007A2854">
        <w:rPr>
          <w:rFonts w:ascii="Times New Roman" w:hAnsi="Times New Roman"/>
          <w:sz w:val="24"/>
          <w:szCs w:val="24"/>
        </w:rPr>
        <w:t>] are not considered to be participants of mobility activities and are not considered for calculation of organisational support grant.</w:t>
      </w:r>
    </w:p>
    <w:p w14:paraId="378CCFB1" w14:textId="77777777" w:rsidR="004C0037" w:rsidRDefault="004C0037" w:rsidP="004C0037">
      <w:pPr>
        <w:spacing w:after="0" w:line="100" w:lineRule="atLeast"/>
        <w:ind w:left="714"/>
        <w:jc w:val="both"/>
        <w:rPr>
          <w:rFonts w:ascii="Times New Roman" w:hAnsi="Times New Roman"/>
          <w:sz w:val="24"/>
          <w:szCs w:val="24"/>
          <w:shd w:val="clear" w:color="auto" w:fill="00FFFF"/>
        </w:rPr>
      </w:pPr>
    </w:p>
    <w:p w14:paraId="7DC83750" w14:textId="10F8FDF6" w:rsidR="00B20DB0" w:rsidRDefault="007152DB" w:rsidP="007152DB">
      <w:pPr>
        <w:tabs>
          <w:tab w:val="left" w:pos="709"/>
        </w:tabs>
        <w:spacing w:line="100" w:lineRule="atLeast"/>
        <w:ind w:left="709"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0D364AA7" w:rsidR="00B20DB0" w:rsidRDefault="007152DB" w:rsidP="007152DB">
      <w:pPr>
        <w:tabs>
          <w:tab w:val="left" w:pos="709"/>
        </w:tabs>
        <w:spacing w:line="100" w:lineRule="atLeast"/>
        <w:ind w:left="709" w:hanging="567"/>
        <w:jc w:val="both"/>
        <w:rPr>
          <w:rFonts w:ascii="Times New Roman" w:hAnsi="Times New Roman"/>
          <w:color w:val="000000"/>
          <w:sz w:val="24"/>
          <w:szCs w:val="24"/>
        </w:rPr>
      </w:pPr>
      <w:r>
        <w:rPr>
          <w:rFonts w:ascii="Times New Roman" w:hAnsi="Times New Roman"/>
          <w:sz w:val="24"/>
          <w:szCs w:val="24"/>
        </w:rPr>
        <w:t xml:space="preserve">(c) </w:t>
      </w:r>
      <w:r>
        <w:rPr>
          <w:rFonts w:ascii="Times New Roman" w:hAnsi="Times New Roman"/>
          <w:sz w:val="24"/>
          <w:szCs w:val="24"/>
        </w:rPr>
        <w:tab/>
      </w:r>
      <w:r w:rsidR="00B20DB0">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76DA9C24" w14:textId="3368AF6D" w:rsidR="00E6309D" w:rsidRDefault="00E6309D" w:rsidP="007152DB">
      <w:pPr>
        <w:tabs>
          <w:tab w:val="left" w:pos="709"/>
        </w:tabs>
        <w:spacing w:line="100" w:lineRule="atLeast"/>
        <w:ind w:left="709" w:hanging="567"/>
        <w:jc w:val="both"/>
        <w:rPr>
          <w:rFonts w:ascii="Times New Roman" w:hAnsi="Times New Roman"/>
          <w:sz w:val="24"/>
          <w:szCs w:val="24"/>
        </w:rPr>
      </w:pPr>
    </w:p>
    <w:p w14:paraId="521EADC2" w14:textId="77777777" w:rsidR="00E6309D" w:rsidRDefault="00E6309D" w:rsidP="007152DB">
      <w:pPr>
        <w:tabs>
          <w:tab w:val="left" w:pos="709"/>
        </w:tabs>
        <w:spacing w:line="100" w:lineRule="atLeast"/>
        <w:ind w:left="709" w:hanging="567"/>
        <w:jc w:val="both"/>
        <w:rPr>
          <w:rFonts w:ascii="Times New Roman" w:hAnsi="Times New Roman"/>
          <w:sz w:val="24"/>
          <w:szCs w:val="24"/>
        </w:rPr>
      </w:pP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2F1ADA4" w14:textId="77777777"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t>OLS language assessments</w:t>
      </w:r>
    </w:p>
    <w:p w14:paraId="171AD480" w14:textId="11EA0756"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licenses are provided for participants undertaking a mobility period for a minimum period of </w:t>
      </w:r>
      <w:r w:rsidRPr="00B578BC">
        <w:rPr>
          <w:rFonts w:ascii="Times New Roman" w:hAnsi="Times New Roman"/>
          <w:sz w:val="24"/>
          <w:szCs w:val="24"/>
        </w:rPr>
        <w:t>nineteen days excluding travel</w:t>
      </w:r>
      <w:r>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73AFCD1D"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60F2EE9F"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Pr>
          <w:rFonts w:ascii="Times New Roman" w:hAnsi="Times New Roman"/>
          <w:sz w:val="24"/>
          <w:szCs w:val="24"/>
        </w:rPr>
        <w:t xml:space="preserve">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also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5DCF191D"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2F751D45"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licences must be used </w:t>
      </w:r>
      <w:r w:rsidR="007D5954">
        <w:rPr>
          <w:rFonts w:ascii="Times New Roman" w:hAnsi="Times New Roman"/>
          <w:sz w:val="24"/>
          <w:szCs w:val="24"/>
        </w:rPr>
        <w:t>as from the OLS assessment (before their mobility period) to the end of the mobility activity.</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00ED935E" w:rsidR="00B20DB0" w:rsidRDefault="00B20DB0" w:rsidP="007152DB">
      <w:pPr>
        <w:numPr>
          <w:ilvl w:val="0"/>
          <w:numId w:val="6"/>
        </w:numPr>
        <w:jc w:val="both"/>
        <w:rPr>
          <w:rFonts w:ascii="Times New Roman" w:hAnsi="Times New Roman"/>
          <w:sz w:val="24"/>
          <w:szCs w:val="24"/>
        </w:rPr>
      </w:pPr>
      <w:r>
        <w:rPr>
          <w:rFonts w:ascii="Times New Roman" w:hAnsi="Times New Roman"/>
          <w:sz w:val="24"/>
          <w:szCs w:val="24"/>
        </w:rPr>
        <w:t xml:space="preserve">Mobility participants commit themselves by signing the individual mobility grant agreement to complete </w:t>
      </w:r>
      <w:r w:rsidR="006C6809">
        <w:rPr>
          <w:rFonts w:ascii="Times New Roman" w:hAnsi="Times New Roman"/>
          <w:sz w:val="24"/>
          <w:szCs w:val="24"/>
        </w:rPr>
        <w:t xml:space="preserve">the </w:t>
      </w:r>
      <w:r>
        <w:rPr>
          <w:rFonts w:ascii="Times New Roman" w:hAnsi="Times New Roman"/>
          <w:sz w:val="24"/>
          <w:szCs w:val="24"/>
        </w:rPr>
        <w:t>OLS language assessment (before the mobility period) and to follow the OLS language course, if awarded.</w:t>
      </w:r>
    </w:p>
    <w:p w14:paraId="27C502A9" w14:textId="77777777" w:rsidR="00B20DB0" w:rsidRDefault="00B20DB0" w:rsidP="007152DB">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558051D8" w:rsidR="00B20DB0" w:rsidRDefault="00B20DB0" w:rsidP="007152DB">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final beneficiary report. </w:t>
      </w:r>
    </w:p>
    <w:p w14:paraId="4AF34FAE" w14:textId="73DF4E7A" w:rsidR="00B20DB0" w:rsidRDefault="00B20DB0" w:rsidP="007152DB">
      <w:pPr>
        <w:numPr>
          <w:ilvl w:val="0"/>
          <w:numId w:val="6"/>
        </w:numPr>
        <w:jc w:val="both"/>
        <w:rPr>
          <w:rFonts w:ascii="Times New Roman" w:hAnsi="Times New Roman"/>
          <w:sz w:val="24"/>
          <w:szCs w:val="24"/>
          <w:u w:val="single"/>
          <w:shd w:val="clear" w:color="auto" w:fill="00FFFF"/>
          <w:lang w:val="en-US"/>
        </w:rPr>
      </w:pPr>
      <w:r>
        <w:rPr>
          <w:rFonts w:ascii="Times New Roman" w:hAnsi="Times New Roman"/>
          <w:sz w:val="24"/>
          <w:szCs w:val="24"/>
        </w:rPr>
        <w:t xml:space="preserve">In case of unused or non-allocated licences at the time of final beneficiary report, the NA may decide to take this into account for the allocation of the number of licences 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28783E85" w14:textId="77777777" w:rsidR="00A36220" w:rsidRDefault="00C02C74" w:rsidP="00A36220">
      <w:pPr>
        <w:tabs>
          <w:tab w:val="left" w:pos="851"/>
        </w:tabs>
        <w:jc w:val="both"/>
        <w:rPr>
          <w:rFonts w:ascii="Times New Roman" w:hAnsi="Times New Roman"/>
          <w:sz w:val="24"/>
          <w:szCs w:val="24"/>
        </w:rPr>
      </w:pPr>
      <w:r>
        <w:rPr>
          <w:rFonts w:ascii="Times New Roman" w:hAnsi="Times New Roman"/>
          <w:b/>
          <w:sz w:val="24"/>
          <w:szCs w:val="24"/>
          <w:shd w:val="clear" w:color="auto" w:fill="FFFF00"/>
        </w:rPr>
        <w:t>D</w:t>
      </w:r>
      <w:r w:rsidR="00A36220">
        <w:rPr>
          <w:rFonts w:ascii="Times New Roman" w:hAnsi="Times New Roman"/>
          <w:b/>
          <w:sz w:val="24"/>
          <w:szCs w:val="24"/>
          <w:shd w:val="clear" w:color="auto" w:fill="FFFF00"/>
        </w:rPr>
        <w:t>. Linguistic support (only for languages not covered by OLS)</w:t>
      </w:r>
      <w:r w:rsidR="00A36220">
        <w:rPr>
          <w:rFonts w:ascii="Times New Roman" w:hAnsi="Times New Roman"/>
          <w:b/>
          <w:sz w:val="24"/>
          <w:szCs w:val="24"/>
        </w:rPr>
        <w:t xml:space="preserve"> </w:t>
      </w:r>
    </w:p>
    <w:p w14:paraId="2803422B" w14:textId="237782A3" w:rsidR="00A36220" w:rsidRDefault="00EA30CF" w:rsidP="007152DB">
      <w:pPr>
        <w:spacing w:line="100" w:lineRule="atLeast"/>
        <w:ind w:left="720" w:hanging="436"/>
        <w:jc w:val="both"/>
        <w:rPr>
          <w:rFonts w:ascii="Times New Roman" w:hAnsi="Times New Roman"/>
          <w:sz w:val="24"/>
          <w:szCs w:val="24"/>
        </w:rPr>
      </w:pPr>
      <w:r>
        <w:rPr>
          <w:rFonts w:ascii="Times New Roman" w:hAnsi="Times New Roman"/>
          <w:sz w:val="24"/>
          <w:szCs w:val="24"/>
        </w:rPr>
        <w:t xml:space="preserve">(a) </w:t>
      </w:r>
      <w:r w:rsidR="007152DB">
        <w:rPr>
          <w:rFonts w:ascii="Times New Roman" w:hAnsi="Times New Roman"/>
          <w:sz w:val="24"/>
          <w:szCs w:val="24"/>
        </w:rPr>
        <w:t xml:space="preserve"> </w:t>
      </w:r>
      <w:r w:rsidR="00A36220">
        <w:rPr>
          <w:rFonts w:ascii="Times New Roman" w:hAnsi="Times New Roman"/>
          <w:sz w:val="24"/>
          <w:szCs w:val="24"/>
        </w:rPr>
        <w:t>Calculation of the grant amount: the grant amount is calculated by multiplying the total number of learners receiving linguistic support by the unit contribution as specified in Annex IV of the Agreement.</w:t>
      </w:r>
    </w:p>
    <w:p w14:paraId="200E3AE6" w14:textId="3E24EACC" w:rsidR="00A36220" w:rsidRDefault="00A36220" w:rsidP="007152DB">
      <w:pPr>
        <w:numPr>
          <w:ilvl w:val="0"/>
          <w:numId w:val="29"/>
        </w:numPr>
        <w:spacing w:line="100" w:lineRule="atLeast"/>
        <w:ind w:hanging="436"/>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n the language of instruction or of</w:t>
      </w:r>
      <w:r>
        <w:rPr>
          <w:rFonts w:ascii="Times New Roman" w:hAnsi="Times New Roman"/>
          <w:sz w:val="24"/>
          <w:szCs w:val="24"/>
        </w:rPr>
        <w:t xml:space="preserve"> work.</w:t>
      </w:r>
    </w:p>
    <w:p w14:paraId="5CF643C6" w14:textId="77777777" w:rsidR="00A36220" w:rsidRDefault="00A36220" w:rsidP="007152DB">
      <w:pPr>
        <w:numPr>
          <w:ilvl w:val="0"/>
          <w:numId w:val="29"/>
        </w:numPr>
        <w:spacing w:line="100" w:lineRule="atLeast"/>
        <w:ind w:hanging="436"/>
        <w:jc w:val="both"/>
        <w:rPr>
          <w:rFonts w:ascii="Times New Roman" w:hAnsi="Times New Roman"/>
          <w:sz w:val="24"/>
          <w:szCs w:val="24"/>
        </w:rPr>
      </w:pPr>
      <w:r>
        <w:rPr>
          <w:rFonts w:ascii="Times New Roman" w:hAnsi="Times New Roman"/>
          <w:sz w:val="24"/>
          <w:szCs w:val="24"/>
        </w:rPr>
        <w:t xml:space="preserve">Supporting documents: </w:t>
      </w:r>
    </w:p>
    <w:p w14:paraId="6E92E1F0" w14:textId="77777777" w:rsidR="00A36220" w:rsidRDefault="00A36220" w:rsidP="007152DB">
      <w:pPr>
        <w:numPr>
          <w:ilvl w:val="0"/>
          <w:numId w:val="22"/>
        </w:numPr>
        <w:spacing w:line="100" w:lineRule="atLeast"/>
        <w:ind w:left="993" w:hanging="436"/>
        <w:jc w:val="both"/>
        <w:rPr>
          <w:rFonts w:ascii="Times New Roman" w:hAnsi="Times New Roman"/>
          <w:sz w:val="24"/>
          <w:szCs w:val="24"/>
        </w:rPr>
      </w:pPr>
      <w:r>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13F29A51" w14:textId="77777777" w:rsidR="00A36220" w:rsidRDefault="00A36220" w:rsidP="007152DB">
      <w:pPr>
        <w:numPr>
          <w:ilvl w:val="0"/>
          <w:numId w:val="22"/>
        </w:numPr>
        <w:spacing w:line="100" w:lineRule="atLeast"/>
        <w:ind w:left="993" w:hanging="284"/>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36BBB83D" w:rsidR="00A36220" w:rsidRDefault="00A36220" w:rsidP="007152DB">
      <w:pPr>
        <w:numPr>
          <w:ilvl w:val="0"/>
          <w:numId w:val="22"/>
        </w:numPr>
        <w:spacing w:line="100" w:lineRule="atLeast"/>
        <w:ind w:left="993" w:hanging="284"/>
        <w:jc w:val="both"/>
        <w:rPr>
          <w:rFonts w:ascii="Times New Roman" w:hAnsi="Times New Roman"/>
          <w:b/>
          <w:sz w:val="24"/>
          <w:szCs w:val="24"/>
        </w:rPr>
      </w:pPr>
      <w:r>
        <w:rPr>
          <w:rFonts w:ascii="Times New Roman" w:hAnsi="Times New Roman"/>
          <w:sz w:val="24"/>
          <w:szCs w:val="24"/>
        </w:rPr>
        <w:t>in case the linguistic support is provided directly by the beneficiary: a declaration signed and dated by the participant, specifying the name of the participant, the language taught, the format and duration of t</w:t>
      </w:r>
      <w:r w:rsidR="007152DB">
        <w:rPr>
          <w:rFonts w:ascii="Times New Roman" w:hAnsi="Times New Roman"/>
          <w:sz w:val="24"/>
          <w:szCs w:val="24"/>
        </w:rPr>
        <w:t>he linguistic support received.</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7152DB">
      <w:pPr>
        <w:numPr>
          <w:ilvl w:val="0"/>
          <w:numId w:val="8"/>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7152DB">
      <w:pPr>
        <w:numPr>
          <w:ilvl w:val="0"/>
          <w:numId w:val="8"/>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7152DB">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7152DB">
      <w:pPr>
        <w:numPr>
          <w:ilvl w:val="0"/>
          <w:numId w:val="9"/>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027DE802"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of 100% of the eligible costs actually incurred. </w:t>
      </w:r>
    </w:p>
    <w:p w14:paraId="247C99BF" w14:textId="35343DB7"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620BB583" w14:textId="353B1F18"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A07E45">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518B6832" w:rsidR="00B20DB0" w:rsidRDefault="00B20DB0" w:rsidP="007152DB">
      <w:pPr>
        <w:pStyle w:val="ListParagraph"/>
        <w:numPr>
          <w:ilvl w:val="0"/>
          <w:numId w:val="13"/>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t>
      </w:r>
      <w:r w:rsidRPr="00B578BC">
        <w:rPr>
          <w:rFonts w:ascii="Times New Roman" w:eastAsia="Calibri" w:hAnsi="Times New Roman" w:cs="Times New Roman"/>
          <w:sz w:val="24"/>
          <w:szCs w:val="24"/>
        </w:rPr>
        <w:t>or</w:t>
      </w:r>
      <w:r w:rsidR="005E662F" w:rsidRPr="00B578BC">
        <w:rPr>
          <w:rFonts w:ascii="Times New Roman" w:eastAsia="Calibri" w:hAnsi="Times New Roman" w:cs="Times New Roman"/>
          <w:sz w:val="24"/>
          <w:szCs w:val="24"/>
        </w:rPr>
        <w:t xml:space="preserve"> a</w:t>
      </w:r>
      <w:r w:rsidR="001C6F32" w:rsidRPr="00B578BC">
        <w:rPr>
          <w:rFonts w:ascii="Times New Roman" w:eastAsia="Calibri" w:hAnsi="Times New Roman" w:cs="Times New Roman"/>
          <w:sz w:val="24"/>
          <w:szCs w:val="24"/>
        </w:rPr>
        <w:t>n</w:t>
      </w:r>
      <w:r w:rsidR="005E662F" w:rsidRPr="00B578BC">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accompanying person</w:t>
      </w:r>
      <w:r w:rsidRPr="00B30147">
        <w:rPr>
          <w:rFonts w:ascii="Times New Roman" w:eastAsia="Calibri" w:hAnsi="Times New Roman" w:cs="Times New Roman"/>
          <w:sz w:val="24"/>
          <w:szCs w:val="24"/>
        </w:rPr>
        <w:t xml:space="preserve"> was used for any of the participants with special needs.</w:t>
      </w:r>
    </w:p>
    <w:p w14:paraId="4B9647E8" w14:textId="77777777" w:rsidR="00B20DB0" w:rsidRDefault="00B20DB0" w:rsidP="007152DB">
      <w:pPr>
        <w:pStyle w:val="ListParagraph"/>
        <w:numPr>
          <w:ilvl w:val="0"/>
          <w:numId w:val="13"/>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5F516DEA" w14:textId="77777777" w:rsidR="00B20DB0" w:rsidRDefault="00B20DB0">
      <w:pPr>
        <w:spacing w:line="100" w:lineRule="atLeast"/>
        <w:jc w:val="both"/>
        <w:rPr>
          <w:rFonts w:ascii="Times New Roman" w:hAnsi="Times New Roman"/>
          <w:sz w:val="24"/>
          <w:szCs w:val="24"/>
        </w:rPr>
      </w:pPr>
    </w:p>
    <w:p w14:paraId="2D94BD73" w14:textId="77777777" w:rsidR="00B20DB0" w:rsidRPr="005056BD" w:rsidRDefault="00B20DB0" w:rsidP="000A628D">
      <w:pPr>
        <w:tabs>
          <w:tab w:val="left" w:pos="426"/>
        </w:tabs>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 xml:space="preserve">B. </w:t>
      </w:r>
      <w:r w:rsidR="000A628D" w:rsidRPr="005056BD">
        <w:rPr>
          <w:rFonts w:ascii="Times New Roman" w:hAnsi="Times New Roman"/>
          <w:b/>
          <w:sz w:val="24"/>
          <w:szCs w:val="24"/>
          <w:u w:val="single"/>
          <w:shd w:val="clear" w:color="auto" w:fill="FFFF00"/>
          <w:lang w:val="en-US"/>
        </w:rPr>
        <w:tab/>
      </w:r>
      <w:r w:rsidRPr="005056BD">
        <w:rPr>
          <w:rFonts w:ascii="Times New Roman" w:hAnsi="Times New Roman"/>
          <w:b/>
          <w:sz w:val="24"/>
          <w:szCs w:val="24"/>
          <w:u w:val="single"/>
          <w:shd w:val="clear" w:color="auto" w:fill="FFFF00"/>
          <w:lang w:val="en-US"/>
        </w:rPr>
        <w:t>Exceptional costs</w:t>
      </w:r>
    </w:p>
    <w:p w14:paraId="3E34BCF8" w14:textId="77777777" w:rsidR="00B20DB0" w:rsidRDefault="00B20DB0">
      <w:pPr>
        <w:spacing w:after="0" w:line="100" w:lineRule="atLeast"/>
        <w:jc w:val="both"/>
        <w:rPr>
          <w:rFonts w:ascii="Times New Roman" w:hAnsi="Times New Roman"/>
          <w:sz w:val="24"/>
          <w:szCs w:val="24"/>
          <w:u w:val="single"/>
          <w:lang w:val="en-US"/>
        </w:rPr>
      </w:pPr>
    </w:p>
    <w:p w14:paraId="084247EB" w14:textId="77777777" w:rsidR="00B20DB0" w:rsidRDefault="00B20DB0" w:rsidP="007152DB">
      <w:pPr>
        <w:numPr>
          <w:ilvl w:val="0"/>
          <w:numId w:val="10"/>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is a reimbursement of 75% of the eligible costs actually incurred for the financial guarantee, of 80% of the eligible costs for expensive travel costs of </w:t>
      </w:r>
      <w:r w:rsidR="003F2959">
        <w:rPr>
          <w:rFonts w:ascii="Times New Roman" w:hAnsi="Times New Roman"/>
          <w:sz w:val="24"/>
          <w:szCs w:val="24"/>
        </w:rPr>
        <w:t xml:space="preserve">eligible </w:t>
      </w:r>
      <w:r>
        <w:rPr>
          <w:rFonts w:ascii="Times New Roman" w:hAnsi="Times New Roman"/>
          <w:sz w:val="24"/>
          <w:szCs w:val="24"/>
        </w:rPr>
        <w:t>participants</w:t>
      </w:r>
      <w:r w:rsidR="003F2959">
        <w:rPr>
          <w:rFonts w:ascii="Times New Roman" w:hAnsi="Times New Roman"/>
          <w:sz w:val="24"/>
          <w:szCs w:val="24"/>
        </w:rPr>
        <w:t xml:space="preserve">, </w:t>
      </w:r>
      <w:r>
        <w:rPr>
          <w:rFonts w:ascii="Times New Roman" w:hAnsi="Times New Roman"/>
          <w:sz w:val="24"/>
          <w:szCs w:val="24"/>
        </w:rPr>
        <w:t xml:space="preserve">and of 100% of the eligible costs actually incurred for the participation of learners with fewer opportunities. </w:t>
      </w:r>
    </w:p>
    <w:p w14:paraId="71CDC355" w14:textId="77777777" w:rsidR="00B20DB0" w:rsidRDefault="00B20DB0" w:rsidP="007152DB">
      <w:pPr>
        <w:numPr>
          <w:ilvl w:val="0"/>
          <w:numId w:val="10"/>
        </w:numPr>
        <w:spacing w:line="100" w:lineRule="atLeast"/>
        <w:jc w:val="both"/>
      </w:pPr>
      <w:r>
        <w:rPr>
          <w:rFonts w:ascii="Times New Roman" w:hAnsi="Times New Roman"/>
          <w:sz w:val="24"/>
          <w:szCs w:val="24"/>
        </w:rPr>
        <w:t xml:space="preserve">Eligible costs: </w:t>
      </w:r>
    </w:p>
    <w:p w14:paraId="7DCB8039" w14:textId="77777777" w:rsidR="00B20DB0" w:rsidRDefault="00B20DB0" w:rsidP="007152DB">
      <w:pPr>
        <w:numPr>
          <w:ilvl w:val="0"/>
          <w:numId w:val="11"/>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0302FDBA" w14:textId="77777777" w:rsidR="00B20DB0" w:rsidRDefault="00B20DB0" w:rsidP="007152DB">
      <w:pPr>
        <w:numPr>
          <w:ilvl w:val="0"/>
          <w:numId w:val="11"/>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costs relating to a pre-financing guarantee lodged by the beneficiary where such guarantee is required by the NA, as specified in Article I.4.2 of the Agreement.</w:t>
      </w:r>
    </w:p>
    <w:p w14:paraId="24CC7528" w14:textId="77777777" w:rsidR="00B20DB0" w:rsidRDefault="00B20DB0" w:rsidP="007152DB">
      <w:pPr>
        <w:numPr>
          <w:ilvl w:val="0"/>
          <w:numId w:val="11"/>
        </w:numPr>
        <w:tabs>
          <w:tab w:val="left" w:pos="1134"/>
        </w:tabs>
        <w:spacing w:line="100" w:lineRule="atLeast"/>
        <w:ind w:left="1134"/>
        <w:jc w:val="both"/>
      </w:pPr>
      <w:r>
        <w:rPr>
          <w:rFonts w:ascii="Times New Roman" w:hAnsi="Times New Roman"/>
          <w:sz w:val="24"/>
          <w:szCs w:val="24"/>
        </w:rPr>
        <w:t xml:space="preserve">costs of travel </w:t>
      </w:r>
      <w:r w:rsidR="00B34799">
        <w:rPr>
          <w:rFonts w:ascii="Times New Roman" w:hAnsi="Times New Roman"/>
          <w:sz w:val="24"/>
          <w:szCs w:val="24"/>
        </w:rPr>
        <w:t xml:space="preserve">in the most economical but also effective way for eligible </w:t>
      </w:r>
      <w:r w:rsidR="00B34799" w:rsidRPr="00C15BDD">
        <w:rPr>
          <w:rFonts w:ascii="Times New Roman" w:hAnsi="Times New Roman"/>
          <w:sz w:val="24"/>
          <w:szCs w:val="24"/>
        </w:rPr>
        <w:t xml:space="preserve">participants </w:t>
      </w:r>
      <w:r>
        <w:rPr>
          <w:rFonts w:ascii="Times New Roman" w:hAnsi="Times New Roman"/>
          <w:sz w:val="24"/>
          <w:szCs w:val="24"/>
        </w:rPr>
        <w:t xml:space="preserve">for which the standard funding rule does not cover at least 70% of the eligible costs. </w:t>
      </w:r>
      <w:r w:rsidR="001B188D">
        <w:rPr>
          <w:rFonts w:ascii="Times New Roman" w:hAnsi="Times New Roman"/>
          <w:sz w:val="24"/>
          <w:szCs w:val="24"/>
        </w:rPr>
        <w:t>T</w:t>
      </w:r>
      <w:r w:rsidR="001B188D" w:rsidRPr="00604941">
        <w:rPr>
          <w:rFonts w:ascii="Times New Roman" w:hAnsi="Times New Roman"/>
          <w:sz w:val="24"/>
          <w:szCs w:val="24"/>
        </w:rPr>
        <w:t xml:space="preserve">he exceptional costs for expensive travel replace </w:t>
      </w:r>
      <w:r w:rsidR="001B188D" w:rsidRPr="00EA5E7C">
        <w:rPr>
          <w:rFonts w:ascii="Times New Roman" w:hAnsi="Times New Roman"/>
          <w:sz w:val="24"/>
          <w:szCs w:val="24"/>
        </w:rPr>
        <w:t>the standard travel grant.</w:t>
      </w:r>
    </w:p>
    <w:p w14:paraId="52B735EE" w14:textId="77777777" w:rsidR="00B20DB0" w:rsidRDefault="00B20DB0" w:rsidP="007152DB">
      <w:pPr>
        <w:numPr>
          <w:ilvl w:val="0"/>
          <w:numId w:val="10"/>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599CD75B" w14:textId="38249A10" w:rsidR="00B20DB0" w:rsidRDefault="00B20DB0" w:rsidP="007152DB">
      <w:pPr>
        <w:numPr>
          <w:ilvl w:val="0"/>
          <w:numId w:val="12"/>
        </w:numPr>
        <w:tabs>
          <w:tab w:val="left" w:pos="1134"/>
        </w:tabs>
        <w:spacing w:line="100" w:lineRule="atLeast"/>
        <w:ind w:left="1134"/>
        <w:jc w:val="both"/>
      </w:pPr>
      <w:r>
        <w:rPr>
          <w:rFonts w:ascii="Times New Roman" w:hAnsi="Times New Roman"/>
          <w:sz w:val="24"/>
          <w:szCs w:val="24"/>
        </w:rPr>
        <w:t>In the case of costs related to the participation of learners with fewer opportunities: invoices</w:t>
      </w:r>
      <w:r w:rsidR="00437252">
        <w:rPr>
          <w:rFonts w:ascii="Times New Roman" w:hAnsi="Times New Roman"/>
          <w:sz w:val="24"/>
          <w:szCs w:val="24"/>
        </w:rPr>
        <w:t xml:space="preserve"> </w:t>
      </w:r>
      <w:r>
        <w:rPr>
          <w:rFonts w:ascii="Times New Roman" w:hAnsi="Times New Roman"/>
          <w:sz w:val="24"/>
          <w:szCs w:val="24"/>
        </w:rPr>
        <w:t>of the actual costs incurred specifying the name and address of the body issuing the invoice, the amount and currency, and the date of the invoice.</w:t>
      </w:r>
    </w:p>
    <w:p w14:paraId="70FEAD79" w14:textId="77777777" w:rsidR="00B20DB0" w:rsidRDefault="00B20DB0" w:rsidP="007152DB">
      <w:pPr>
        <w:numPr>
          <w:ilvl w:val="0"/>
          <w:numId w:val="12"/>
        </w:numPr>
        <w:tabs>
          <w:tab w:val="left" w:pos="1134"/>
        </w:tabs>
        <w:spacing w:line="100" w:lineRule="atLeast"/>
        <w:ind w:left="1134"/>
        <w:jc w:val="both"/>
        <w:rPr>
          <w:rFonts w:ascii="Times New Roman" w:hAnsi="Times New Roman"/>
          <w:sz w:val="24"/>
          <w:szCs w:val="24"/>
        </w:rPr>
      </w:pPr>
      <w:r>
        <w:rPr>
          <w:rFonts w:ascii="Times New Roman" w:hAnsi="Times New Roman"/>
          <w:sz w:val="24"/>
          <w:szCs w:val="24"/>
        </w:rPr>
        <w:t>In the case of a 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7551FEFA" w14:textId="742BD53E" w:rsidR="00B20DB0" w:rsidRDefault="00B20DB0" w:rsidP="007152DB">
      <w:pPr>
        <w:numPr>
          <w:ilvl w:val="0"/>
          <w:numId w:val="12"/>
        </w:numPr>
        <w:tabs>
          <w:tab w:val="left" w:pos="1134"/>
        </w:tabs>
        <w:spacing w:line="100" w:lineRule="atLeast"/>
        <w:ind w:left="1134"/>
        <w:jc w:val="both"/>
      </w:pPr>
      <w:r>
        <w:rPr>
          <w:rFonts w:ascii="Times New Roman" w:hAnsi="Times New Roman"/>
          <w:sz w:val="24"/>
          <w:szCs w:val="24"/>
        </w:rPr>
        <w:t xml:space="preserve">In the case of </w:t>
      </w:r>
      <w:r w:rsidR="00A36864">
        <w:rPr>
          <w:rFonts w:ascii="Times New Roman" w:hAnsi="Times New Roman"/>
          <w:sz w:val="24"/>
          <w:szCs w:val="24"/>
        </w:rPr>
        <w:t>travel costs:</w:t>
      </w:r>
      <w:r>
        <w:rPr>
          <w:rFonts w:ascii="Times New Roman" w:hAnsi="Times New Roman"/>
          <w:sz w:val="24"/>
          <w:szCs w:val="24"/>
        </w:rPr>
        <w:t xml:space="preserve"> proof of payment of the related costs on the basis of invoices specifying the name and address of the body issuing the invoice, the amount and currency, the date of the invoice</w:t>
      </w:r>
      <w:r w:rsidR="00DD4C0F">
        <w:rPr>
          <w:rFonts w:ascii="Times New Roman" w:hAnsi="Times New Roman"/>
          <w:sz w:val="24"/>
          <w:szCs w:val="24"/>
        </w:rPr>
        <w:t xml:space="preserve"> </w:t>
      </w:r>
      <w:r w:rsidR="00DD4C0F" w:rsidRPr="00DD4C0F">
        <w:rPr>
          <w:rFonts w:ascii="Times New Roman" w:hAnsi="Times New Roman"/>
          <w:sz w:val="24"/>
          <w:szCs w:val="24"/>
        </w:rPr>
        <w:t>and the travel route</w:t>
      </w:r>
      <w:r w:rsidR="007152DB">
        <w:rPr>
          <w:rFonts w:ascii="Times New Roman" w:hAnsi="Times New Roman"/>
          <w:sz w:val="24"/>
          <w:szCs w:val="24"/>
        </w:rPr>
        <w:t>.</w:t>
      </w:r>
    </w:p>
    <w:p w14:paraId="442ACB10" w14:textId="5AE2DB33" w:rsidR="00B20DB0" w:rsidRPr="007152DB" w:rsidRDefault="00B20DB0" w:rsidP="007152DB">
      <w:pPr>
        <w:pStyle w:val="ListParagraph"/>
        <w:numPr>
          <w:ilvl w:val="0"/>
          <w:numId w:val="10"/>
        </w:numPr>
        <w:jc w:val="both"/>
      </w:pPr>
      <w:r w:rsidRPr="00B578BC">
        <w:rPr>
          <w:rFonts w:ascii="Times New Roman" w:hAnsi="Times New Roman"/>
          <w:sz w:val="24"/>
          <w:szCs w:val="24"/>
        </w:rPr>
        <w:t>Reporting:</w:t>
      </w:r>
    </w:p>
    <w:p w14:paraId="4C0011F0" w14:textId="77777777" w:rsidR="007152DB" w:rsidRDefault="007152DB" w:rsidP="007152DB">
      <w:pPr>
        <w:pStyle w:val="ListParagraph"/>
        <w:jc w:val="both"/>
      </w:pPr>
    </w:p>
    <w:p w14:paraId="38BCFC68" w14:textId="77777777" w:rsidR="00B20DB0" w:rsidRPr="0083055A" w:rsidRDefault="00B20DB0" w:rsidP="007152DB">
      <w:pPr>
        <w:pStyle w:val="ListParagraph"/>
        <w:numPr>
          <w:ilvl w:val="0"/>
          <w:numId w:val="20"/>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stParagraph"/>
        <w:ind w:left="1134"/>
        <w:jc w:val="both"/>
      </w:pPr>
    </w:p>
    <w:p w14:paraId="3F926046" w14:textId="19E4AE99" w:rsidR="00B20DB0" w:rsidRPr="003F2959" w:rsidRDefault="00B20DB0" w:rsidP="007152DB">
      <w:pPr>
        <w:pStyle w:val="ListParagraph"/>
        <w:numPr>
          <w:ilvl w:val="0"/>
          <w:numId w:val="20"/>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p>
    <w:p w14:paraId="6D8446C7" w14:textId="77777777" w:rsidR="00545991" w:rsidRDefault="00545991" w:rsidP="005F605C">
      <w:pPr>
        <w:pStyle w:val="ListParagraph"/>
        <w:tabs>
          <w:tab w:val="left" w:pos="851"/>
        </w:tabs>
        <w:jc w:val="both"/>
        <w:rPr>
          <w:rFonts w:ascii="Times New Roman" w:hAnsi="Times New Roman"/>
          <w:sz w:val="24"/>
          <w:szCs w:val="24"/>
        </w:rPr>
      </w:pPr>
    </w:p>
    <w:p w14:paraId="14ACCBF1" w14:textId="77777777" w:rsidR="007152DB" w:rsidRDefault="007152DB">
      <w:pPr>
        <w:jc w:val="both"/>
        <w:rPr>
          <w:rFonts w:ascii="Times New Roman" w:hAnsi="Times New Roman"/>
          <w:b/>
          <w:sz w:val="24"/>
          <w:szCs w:val="24"/>
        </w:rPr>
      </w:pPr>
    </w:p>
    <w:p w14:paraId="4B5EB633" w14:textId="193EAE2E"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7152DB">
      <w:pPr>
        <w:numPr>
          <w:ilvl w:val="0"/>
          <w:numId w:val="14"/>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7152DB">
      <w:pPr>
        <w:numPr>
          <w:ilvl w:val="0"/>
          <w:numId w:val="14"/>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7152DB">
      <w:pPr>
        <w:numPr>
          <w:ilvl w:val="0"/>
          <w:numId w:val="14"/>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1B41499B" w:rsidR="00B20DB0" w:rsidRDefault="00B20DB0">
      <w:pPr>
        <w:jc w:val="both"/>
        <w:rPr>
          <w:rFonts w:ascii="Times New Roman" w:hAnsi="Times New Roman"/>
          <w:sz w:val="24"/>
          <w:szCs w:val="24"/>
        </w:rPr>
      </w:pPr>
    </w:p>
    <w:p w14:paraId="32B16FCA" w14:textId="77777777" w:rsidR="006C2D7E" w:rsidRDefault="006C2D7E">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7152DB">
      <w:pPr>
        <w:numPr>
          <w:ilvl w:val="0"/>
          <w:numId w:val="25"/>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7152DB">
      <w:pPr>
        <w:numPr>
          <w:ilvl w:val="0"/>
          <w:numId w:val="25"/>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7152DB">
      <w:pPr>
        <w:numPr>
          <w:ilvl w:val="0"/>
          <w:numId w:val="25"/>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775ED121" w:rsidR="00B20DB0" w:rsidRDefault="00B20DB0" w:rsidP="007152DB">
      <w:pPr>
        <w:numPr>
          <w:ilvl w:val="0"/>
          <w:numId w:val="25"/>
        </w:numPr>
        <w:jc w:val="both"/>
        <w:rPr>
          <w:rFonts w:ascii="Times New Roman" w:hAnsi="Times New Roman"/>
          <w:sz w:val="24"/>
          <w:szCs w:val="24"/>
        </w:rPr>
      </w:pPr>
      <w:r>
        <w:rPr>
          <w:rFonts w:ascii="Times New Roman" w:hAnsi="Times New Roman"/>
          <w:sz w:val="24"/>
          <w:szCs w:val="24"/>
        </w:rPr>
        <w:t>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w:t>
      </w:r>
      <w:r w:rsidR="007152DB">
        <w:rPr>
          <w:rFonts w:ascii="Times New Roman" w:hAnsi="Times New Roman"/>
          <w:sz w:val="24"/>
          <w:szCs w:val="24"/>
        </w:rPr>
        <w:t>er by the due date, the NA may withdraw the accreditation.</w:t>
      </w:r>
    </w:p>
    <w:p w14:paraId="4B3B4B87" w14:textId="77777777" w:rsidR="00B20DB0" w:rsidRDefault="00B20DB0" w:rsidP="007152DB">
      <w:pPr>
        <w:numPr>
          <w:ilvl w:val="0"/>
          <w:numId w:val="25"/>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3CCD4B58" w14:textId="72E1D6A1" w:rsidR="00B20DB0" w:rsidRDefault="00B20DB0">
      <w:pPr>
        <w:ind w:left="720"/>
        <w:jc w:val="both"/>
        <w:rPr>
          <w:rFonts w:ascii="Times New Roman" w:hAnsi="Times New Roman"/>
          <w:sz w:val="24"/>
          <w:szCs w:val="24"/>
        </w:rPr>
      </w:pPr>
      <w:r w:rsidRPr="00B578BC">
        <w:rPr>
          <w:rFonts w:ascii="Times New Roman" w:hAnsi="Times New Roman"/>
          <w:sz w:val="24"/>
          <w:szCs w:val="24"/>
          <w:u w:val="single"/>
        </w:rPr>
        <w:t>For non-accredited organisations</w:t>
      </w:r>
      <w:r w:rsidR="00675BF9" w:rsidRPr="00B578BC">
        <w:rPr>
          <w:rFonts w:ascii="Times New Roman" w:hAnsi="Times New Roman"/>
          <w:sz w:val="24"/>
          <w:szCs w:val="24"/>
          <w:u w:val="single"/>
        </w:rPr>
        <w:t>:</w:t>
      </w:r>
    </w:p>
    <w:p w14:paraId="2AD030FB" w14:textId="77777777" w:rsidR="00B20DB0" w:rsidRDefault="00B20DB0" w:rsidP="007152DB">
      <w:pPr>
        <w:numPr>
          <w:ilvl w:val="1"/>
          <w:numId w:val="26"/>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7152DB">
      <w:pPr>
        <w:numPr>
          <w:ilvl w:val="1"/>
          <w:numId w:val="26"/>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7152DB">
      <w:pPr>
        <w:numPr>
          <w:ilvl w:val="1"/>
          <w:numId w:val="26"/>
        </w:numPr>
        <w:jc w:val="both"/>
      </w:pPr>
      <w:r>
        <w:rPr>
          <w:rFonts w:ascii="Times New Roman" w:hAnsi="Times New Roman"/>
          <w:sz w:val="24"/>
          <w:szCs w:val="24"/>
        </w:rPr>
        <w:t>The impact on the participating organisations</w:t>
      </w:r>
    </w:p>
    <w:p w14:paraId="02F1BF2B" w14:textId="77777777" w:rsidR="00B20DB0" w:rsidRDefault="00B20DB0" w:rsidP="007152DB">
      <w:pPr>
        <w:numPr>
          <w:ilvl w:val="1"/>
          <w:numId w:val="26"/>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7152DB">
      <w:pPr>
        <w:numPr>
          <w:ilvl w:val="1"/>
          <w:numId w:val="26"/>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77F7B222" w14:textId="34FD30A4" w:rsidR="00B20DB0" w:rsidRDefault="003625B0">
      <w:pPr>
        <w:ind w:left="720"/>
        <w:jc w:val="both"/>
      </w:pPr>
      <w:r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32849630" w:rsidR="00B20DB0" w:rsidRDefault="00B20DB0" w:rsidP="007152DB">
      <w:pPr>
        <w:numPr>
          <w:ilvl w:val="1"/>
          <w:numId w:val="27"/>
        </w:numPr>
        <w:jc w:val="both"/>
      </w:pPr>
      <w:r>
        <w:rPr>
          <w:rFonts w:ascii="Times New Roman" w:hAnsi="Times New Roman"/>
          <w:sz w:val="24"/>
          <w:szCs w:val="24"/>
        </w:rPr>
        <w:t>The extent to which the action was implemented in line with the</w:t>
      </w:r>
      <w:r w:rsidR="007152DB">
        <w:rPr>
          <w:rFonts w:ascii="Times New Roman" w:hAnsi="Times New Roman"/>
          <w:sz w:val="24"/>
          <w:szCs w:val="24"/>
        </w:rPr>
        <w:t xml:space="preserve"> </w:t>
      </w:r>
      <w:r w:rsidRPr="00B578BC">
        <w:rPr>
          <w:rFonts w:ascii="Times New Roman" w:hAnsi="Times New Roman"/>
          <w:sz w:val="24"/>
          <w:szCs w:val="24"/>
        </w:rPr>
        <w:t>approved grant application</w:t>
      </w:r>
      <w:r>
        <w:rPr>
          <w:rFonts w:ascii="Times New Roman" w:hAnsi="Times New Roman"/>
          <w:sz w:val="24"/>
          <w:szCs w:val="24"/>
        </w:rPr>
        <w:t>.</w:t>
      </w:r>
    </w:p>
    <w:p w14:paraId="7DB0D8C3" w14:textId="2AAD63DC" w:rsidR="00B20DB0" w:rsidRDefault="00B20DB0" w:rsidP="007152DB">
      <w:pPr>
        <w:numPr>
          <w:ilvl w:val="1"/>
          <w:numId w:val="27"/>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VET Mobility Charter</w:t>
      </w:r>
      <w:r w:rsidR="007152DB">
        <w:rPr>
          <w:rFonts w:ascii="Times New Roman" w:hAnsi="Times New Roman"/>
          <w:sz w:val="24"/>
          <w:szCs w:val="24"/>
        </w:rPr>
        <w:t>.</w:t>
      </w:r>
    </w:p>
    <w:p w14:paraId="0478A4E8" w14:textId="1F6A2DCB" w:rsidR="00B20DB0" w:rsidRDefault="00B20DB0" w:rsidP="007152DB">
      <w:pPr>
        <w:numPr>
          <w:ilvl w:val="1"/>
          <w:numId w:val="27"/>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5A6C734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 xml:space="preserve">A grant reduction based on poor, partial or late implementation may be applied to the final amount of </w:t>
      </w:r>
      <w:r w:rsidR="00524024">
        <w:rPr>
          <w:rFonts w:ascii="Times New Roman" w:hAnsi="Times New Roman"/>
          <w:sz w:val="24"/>
          <w:szCs w:val="24"/>
        </w:rPr>
        <w:t xml:space="preserve">organisational support </w:t>
      </w:r>
      <w:r>
        <w:rPr>
          <w:rFonts w:ascii="Times New Roman" w:hAnsi="Times New Roman"/>
          <w:sz w:val="24"/>
          <w:szCs w:val="24"/>
        </w:rPr>
        <w:t>and may be of:</w:t>
      </w:r>
    </w:p>
    <w:p w14:paraId="78F58B17" w14:textId="77777777" w:rsidR="00B20DB0" w:rsidRDefault="00B20DB0" w:rsidP="007152DB">
      <w:pPr>
        <w:numPr>
          <w:ilvl w:val="1"/>
          <w:numId w:val="28"/>
        </w:numPr>
        <w:tabs>
          <w:tab w:val="left" w:pos="1418"/>
        </w:tabs>
        <w:spacing w:after="0"/>
        <w:ind w:left="1434" w:hanging="357"/>
        <w:jc w:val="both"/>
      </w:pPr>
      <w:r>
        <w:rPr>
          <w:rFonts w:ascii="Times New Roman" w:hAnsi="Times New Roman"/>
          <w:sz w:val="24"/>
          <w:szCs w:val="24"/>
        </w:rPr>
        <w:t>25% if the final report scores at least 40 points and below 50 points;</w:t>
      </w:r>
    </w:p>
    <w:p w14:paraId="7EE5F1DB" w14:textId="77777777" w:rsidR="00B20DB0" w:rsidRDefault="00B20DB0" w:rsidP="007152DB">
      <w:pPr>
        <w:numPr>
          <w:ilvl w:val="1"/>
          <w:numId w:val="28"/>
        </w:numPr>
        <w:tabs>
          <w:tab w:val="left" w:pos="1418"/>
        </w:tabs>
        <w:spacing w:after="0"/>
        <w:ind w:left="1434" w:hanging="357"/>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56E941EC" w:rsidR="00B20DB0" w:rsidRPr="007152DB" w:rsidRDefault="00B20DB0" w:rsidP="007152DB">
      <w:pPr>
        <w:numPr>
          <w:ilvl w:val="1"/>
          <w:numId w:val="28"/>
        </w:numPr>
        <w:tabs>
          <w:tab w:val="left" w:pos="1418"/>
        </w:tabs>
        <w:spacing w:after="0"/>
        <w:ind w:left="1434" w:hanging="357"/>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4D92DC37" w14:textId="77777777" w:rsidR="007152DB" w:rsidRDefault="007152DB" w:rsidP="007152DB">
      <w:pPr>
        <w:tabs>
          <w:tab w:val="left" w:pos="1418"/>
        </w:tabs>
        <w:spacing w:after="0"/>
        <w:ind w:left="1434"/>
        <w:jc w:val="both"/>
        <w:rPr>
          <w:rFonts w:ascii="Times New Roman" w:hAnsi="Times New Roman"/>
          <w:b/>
          <w:sz w:val="24"/>
          <w:szCs w:val="24"/>
          <w:shd w:val="clear" w:color="auto" w:fill="00FFFF"/>
        </w:rPr>
      </w:pP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5B379D86" w:rsidR="00B20DB0" w:rsidRDefault="007152DB">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rsidP="007152DB">
      <w:pPr>
        <w:widowControl w:val="0"/>
        <w:numPr>
          <w:ilvl w:val="0"/>
          <w:numId w:val="15"/>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rsidP="007152DB">
      <w:pPr>
        <w:widowControl w:val="0"/>
        <w:numPr>
          <w:ilvl w:val="0"/>
          <w:numId w:val="16"/>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rsidP="007152DB">
      <w:pPr>
        <w:widowControl w:val="0"/>
        <w:numPr>
          <w:ilvl w:val="0"/>
          <w:numId w:val="17"/>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2D10DD58" w:rsidR="00B20DB0" w:rsidRDefault="00B20DB0" w:rsidP="007152DB">
      <w:pPr>
        <w:widowControl w:val="0"/>
        <w:numPr>
          <w:ilvl w:val="0"/>
          <w:numId w:val="15"/>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B0852A8" w14:textId="77777777" w:rsidR="006C2D7E" w:rsidRDefault="006C2D7E" w:rsidP="006C2D7E">
      <w:pPr>
        <w:widowControl w:val="0"/>
        <w:spacing w:after="0" w:line="273" w:lineRule="auto"/>
        <w:ind w:left="720"/>
        <w:jc w:val="both"/>
        <w:rPr>
          <w:rFonts w:ascii="Times New Roman" w:hAnsi="Times New Roman"/>
          <w:sz w:val="24"/>
          <w:szCs w:val="24"/>
        </w:rPr>
      </w:pP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1A3A32F8"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47C3BDD6"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w:t>
      </w:r>
      <w:r w:rsidR="007152DB">
        <w:rPr>
          <w:rFonts w:ascii="Times New Roman" w:hAnsi="Times New Roman"/>
          <w:sz w:val="24"/>
          <w:szCs w:val="24"/>
        </w:rPr>
        <w:t xml:space="preserve">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rsidP="007152DB">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rsidP="007152DB">
      <w:pPr>
        <w:pStyle w:val="ListParagraph"/>
        <w:numPr>
          <w:ilvl w:val="0"/>
          <w:numId w:val="18"/>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rsidP="007152DB">
      <w:pPr>
        <w:pStyle w:val="ListParagraph"/>
        <w:numPr>
          <w:ilvl w:val="1"/>
          <w:numId w:val="18"/>
        </w:numPr>
        <w:jc w:val="both"/>
      </w:pPr>
      <w:r>
        <w:rPr>
          <w:rFonts w:ascii="Times New Roman" w:hAnsi="Times New Roman"/>
          <w:kern w:val="1"/>
          <w:sz w:val="24"/>
          <w:szCs w:val="24"/>
        </w:rPr>
        <w:t>Travel</w:t>
      </w:r>
    </w:p>
    <w:p w14:paraId="728AF932" w14:textId="7E20256F" w:rsidR="00B20DB0" w:rsidRDefault="00B20DB0" w:rsidP="007152DB">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rsidP="007152DB">
      <w:pPr>
        <w:pStyle w:val="ListParagraph"/>
        <w:numPr>
          <w:ilvl w:val="1"/>
          <w:numId w:val="18"/>
        </w:numPr>
        <w:jc w:val="both"/>
      </w:pPr>
      <w:r>
        <w:rPr>
          <w:rFonts w:ascii="Times New Roman" w:hAnsi="Times New Roman"/>
          <w:kern w:val="1"/>
          <w:sz w:val="24"/>
          <w:szCs w:val="24"/>
        </w:rPr>
        <w:t>Organisational support</w:t>
      </w:r>
    </w:p>
    <w:p w14:paraId="72A8F3EF" w14:textId="4C71EBA4" w:rsidR="00B20DB0" w:rsidRDefault="00B20DB0" w:rsidP="007152DB">
      <w:pPr>
        <w:pStyle w:val="ListParagraph"/>
        <w:numPr>
          <w:ilvl w:val="1"/>
          <w:numId w:val="18"/>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rsidP="007152DB">
      <w:pPr>
        <w:pStyle w:val="ListParagraph"/>
        <w:numPr>
          <w:ilvl w:val="0"/>
          <w:numId w:val="18"/>
        </w:numPr>
        <w:jc w:val="both"/>
      </w:pPr>
      <w:r>
        <w:rPr>
          <w:rFonts w:ascii="Times New Roman" w:hAnsi="Times New Roman"/>
          <w:kern w:val="1"/>
          <w:sz w:val="24"/>
          <w:szCs w:val="24"/>
        </w:rPr>
        <w:t>Actual costs incurred for budget category:</w:t>
      </w:r>
    </w:p>
    <w:p w14:paraId="7A358585" w14:textId="77777777" w:rsidR="00B20DB0" w:rsidRDefault="00B20DB0" w:rsidP="007152DB">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rsidP="007152DB">
      <w:pPr>
        <w:pStyle w:val="ListParagraph"/>
        <w:numPr>
          <w:ilvl w:val="0"/>
          <w:numId w:val="18"/>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rsidP="007152DB">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rsidP="007152DB">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rsidP="007152DB">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7152DB">
      <w:pPr>
        <w:numPr>
          <w:ilvl w:val="0"/>
          <w:numId w:val="23"/>
        </w:numPr>
        <w:ind w:left="426" w:hanging="284"/>
        <w:jc w:val="both"/>
      </w:pPr>
      <w:r>
        <w:rPr>
          <w:rFonts w:ascii="Times New Roman" w:eastAsia="SimSun" w:hAnsi="Times New Roman"/>
          <w:b/>
          <w:i/>
          <w:kern w:val="1"/>
          <w:sz w:val="24"/>
          <w:szCs w:val="24"/>
        </w:rPr>
        <w:t>On-the-spot check during project implementation</w:t>
      </w:r>
    </w:p>
    <w:p w14:paraId="0BEC280A" w14:textId="7B7FEABC"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w:t>
      </w:r>
      <w:r w:rsidR="007152DB">
        <w:rPr>
          <w:rFonts w:ascii="Times New Roman" w:eastAsia="SimSun" w:hAnsi="Times New Roman"/>
          <w:kern w:val="1"/>
          <w:sz w:val="24"/>
          <w:szCs w:val="24"/>
        </w:rPr>
        <w:t>ct activities and participants.</w:t>
      </w:r>
    </w:p>
    <w:p w14:paraId="7DC8B3D6" w14:textId="77777777" w:rsidR="00B20DB0" w:rsidRDefault="00B20DB0" w:rsidP="007152DB">
      <w:pPr>
        <w:numPr>
          <w:ilvl w:val="0"/>
          <w:numId w:val="23"/>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7152DB">
      <w:pPr>
        <w:numPr>
          <w:ilvl w:val="0"/>
          <w:numId w:val="23"/>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172EB435" w14:textId="7BF0AF9C" w:rsidR="00844A25" w:rsidRDefault="007B3B17" w:rsidP="00CC3FD0">
      <w:pPr>
        <w:ind w:left="426"/>
        <w:jc w:val="both"/>
        <w:rPr>
          <w:rFonts w:ascii="Times New Roman" w:hAnsi="Times New Roman"/>
          <w:sz w:val="24"/>
          <w:szCs w:val="24"/>
        </w:rPr>
      </w:pPr>
      <w:r>
        <w:rPr>
          <w:rFonts w:ascii="Times New Roman" w:eastAsia="SimSun" w:hAnsi="Times New Roman"/>
          <w:kern w:val="1"/>
          <w:sz w:val="24"/>
          <w:szCs w:val="24"/>
        </w:rPr>
        <w:t xml:space="preserve">The system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7152DB">
        <w:rPr>
          <w:rFonts w:ascii="Times New Roman" w:eastAsia="SimSun" w:hAnsi="Times New Roman"/>
          <w:kern w:val="1"/>
          <w:sz w:val="24"/>
          <w:szCs w:val="24"/>
        </w:rPr>
        <w:t xml:space="preserve">, </w:t>
      </w:r>
      <w:r w:rsidR="00844A25">
        <w:rPr>
          <w:rFonts w:ascii="Times New Roman" w:eastAsia="SimSun" w:hAnsi="Times New Roman"/>
          <w:kern w:val="1"/>
          <w:sz w:val="24"/>
          <w:szCs w:val="24"/>
        </w:rPr>
        <w:t>inc</w:t>
      </w:r>
      <w:r w:rsidR="007152DB">
        <w:rPr>
          <w:rFonts w:ascii="Times New Roman" w:eastAsia="SimSun" w:hAnsi="Times New Roman"/>
          <w:kern w:val="1"/>
          <w:sz w:val="24"/>
          <w:szCs w:val="24"/>
        </w:rPr>
        <w:t>luding the VET Mobility Charter.</w:t>
      </w:r>
    </w:p>
    <w:p w14:paraId="75C4165D" w14:textId="328E09AC" w:rsidR="00B20DB0" w:rsidRDefault="00B20DB0"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National Agency to verify the reality and eligibility of all project activities and participants.</w:t>
      </w:r>
    </w:p>
    <w:sectPr w:rsidR="00B20DB0" w:rsidSect="00E66DE7">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24EA" w14:textId="77777777" w:rsidR="00907949" w:rsidRDefault="00907949">
      <w:pPr>
        <w:spacing w:after="0" w:line="240" w:lineRule="auto"/>
      </w:pPr>
      <w:r>
        <w:separator/>
      </w:r>
    </w:p>
  </w:endnote>
  <w:endnote w:type="continuationSeparator" w:id="0">
    <w:p w14:paraId="0B7C5F4C" w14:textId="77777777" w:rsidR="00907949" w:rsidRDefault="00907949">
      <w:pPr>
        <w:spacing w:after="0" w:line="240" w:lineRule="auto"/>
      </w:pPr>
      <w:r>
        <w:continuationSeparator/>
      </w:r>
    </w:p>
  </w:endnote>
  <w:endnote w:type="continuationNotice" w:id="1">
    <w:p w14:paraId="3D5A774B" w14:textId="77777777" w:rsidR="00907949" w:rsidRDefault="00907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5740C9DA" w:rsidR="00EA30CF" w:rsidRDefault="00EA30CF">
    <w:pPr>
      <w:pStyle w:val="Footer"/>
      <w:jc w:val="right"/>
    </w:pPr>
    <w:r>
      <w:fldChar w:fldCharType="begin"/>
    </w:r>
    <w:r>
      <w:instrText xml:space="preserve"> PAGE   \* MERGEFORMAT </w:instrText>
    </w:r>
    <w:r>
      <w:fldChar w:fldCharType="separate"/>
    </w:r>
    <w:r w:rsidR="000775EB">
      <w:rPr>
        <w:noProof/>
      </w:rPr>
      <w:t>2</w:t>
    </w:r>
    <w:r>
      <w:rPr>
        <w:noProof/>
      </w:rPr>
      <w:fldChar w:fldCharType="end"/>
    </w:r>
  </w:p>
  <w:p w14:paraId="722B3104" w14:textId="77777777" w:rsidR="00EA30CF" w:rsidRDefault="00EA3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BE6A" w14:textId="77777777" w:rsidR="00907949" w:rsidRDefault="00907949">
      <w:pPr>
        <w:spacing w:after="0" w:line="240" w:lineRule="auto"/>
      </w:pPr>
      <w:r>
        <w:separator/>
      </w:r>
    </w:p>
  </w:footnote>
  <w:footnote w:type="continuationSeparator" w:id="0">
    <w:p w14:paraId="0BE480C9" w14:textId="77777777" w:rsidR="00907949" w:rsidRDefault="00907949">
      <w:pPr>
        <w:spacing w:after="0" w:line="240" w:lineRule="auto"/>
      </w:pPr>
      <w:r>
        <w:continuationSeparator/>
      </w:r>
    </w:p>
  </w:footnote>
  <w:footnote w:type="continuationNotice" w:id="1">
    <w:p w14:paraId="60F31612" w14:textId="77777777" w:rsidR="00907949" w:rsidRDefault="009079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5DD1" w14:textId="77777777" w:rsidR="0094138C" w:rsidRDefault="00941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787A7CE4"/>
    <w:name w:val="WWNum8"/>
    <w:lvl w:ilvl="0">
      <w:start w:val="1"/>
      <w:numFmt w:val="lowerLetter"/>
      <w:lvlText w:val="(%1)"/>
      <w:lvlJc w:val="left"/>
      <w:pPr>
        <w:tabs>
          <w:tab w:val="num" w:pos="-76"/>
        </w:tabs>
        <w:ind w:left="644" w:hanging="360"/>
      </w:pPr>
      <w:rPr>
        <w:b w:val="0"/>
      </w:rPr>
    </w:lvl>
    <w:lvl w:ilvl="1">
      <w:start w:val="2"/>
      <w:numFmt w:val="lowerRoman"/>
      <w:lvlText w:val="(%2)"/>
      <w:lvlJc w:val="left"/>
      <w:pPr>
        <w:tabs>
          <w:tab w:val="num" w:pos="-76"/>
        </w:tabs>
        <w:ind w:left="1364" w:hanging="360"/>
      </w:pPr>
    </w:lvl>
    <w:lvl w:ilvl="2">
      <w:start w:val="1"/>
      <w:numFmt w:val="bullet"/>
      <w:lvlText w:val=""/>
      <w:lvlJc w:val="left"/>
      <w:pPr>
        <w:tabs>
          <w:tab w:val="num" w:pos="-76"/>
        </w:tabs>
        <w:ind w:left="2084" w:hanging="360"/>
      </w:pPr>
      <w:rPr>
        <w:rFonts w:ascii="Wingdings" w:hAnsi="Wingdings"/>
      </w:rPr>
    </w:lvl>
    <w:lvl w:ilvl="3">
      <w:start w:val="1"/>
      <w:numFmt w:val="bullet"/>
      <w:lvlText w:val=""/>
      <w:lvlJc w:val="left"/>
      <w:pPr>
        <w:tabs>
          <w:tab w:val="num" w:pos="-76"/>
        </w:tabs>
        <w:ind w:left="2804" w:hanging="360"/>
      </w:pPr>
      <w:rPr>
        <w:rFonts w:ascii="Symbol" w:hAnsi="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rPr>
    </w:lvl>
    <w:lvl w:ilvl="6">
      <w:start w:val="1"/>
      <w:numFmt w:val="bullet"/>
      <w:lvlText w:val=""/>
      <w:lvlJc w:val="left"/>
      <w:pPr>
        <w:tabs>
          <w:tab w:val="num" w:pos="-76"/>
        </w:tabs>
        <w:ind w:left="4964" w:hanging="360"/>
      </w:pPr>
      <w:rPr>
        <w:rFonts w:ascii="Symbol" w:hAnsi="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2">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1">
    <w:nsid w:val="4A7A74ED"/>
    <w:multiLevelType w:val="multilevel"/>
    <w:tmpl w:val="DE3427CE"/>
    <w:name w:val="WWNum112"/>
    <w:lvl w:ilvl="0">
      <w:start w:val="2"/>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2">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30"/>
  </w:num>
  <w:num w:numId="9">
    <w:abstractNumId w:val="31"/>
  </w:num>
  <w:num w:numId="10">
    <w:abstractNumId w:val="32"/>
  </w:num>
  <w:num w:numId="11">
    <w:abstractNumId w:val="33"/>
  </w:num>
  <w:num w:numId="12">
    <w:abstractNumId w:val="34"/>
  </w:num>
  <w:num w:numId="13">
    <w:abstractNumId w:val="36"/>
  </w:num>
  <w:num w:numId="14">
    <w:abstractNumId w:val="48"/>
  </w:num>
  <w:num w:numId="15">
    <w:abstractNumId w:val="50"/>
  </w:num>
  <w:num w:numId="16">
    <w:abstractNumId w:val="51"/>
  </w:num>
  <w:num w:numId="17">
    <w:abstractNumId w:val="52"/>
  </w:num>
  <w:num w:numId="18">
    <w:abstractNumId w:val="54"/>
  </w:num>
  <w:num w:numId="19">
    <w:abstractNumId w:val="55"/>
  </w:num>
  <w:num w:numId="20">
    <w:abstractNumId w:val="63"/>
  </w:num>
  <w:num w:numId="21">
    <w:abstractNumId w:val="65"/>
  </w:num>
  <w:num w:numId="22">
    <w:abstractNumId w:val="76"/>
  </w:num>
  <w:num w:numId="23">
    <w:abstractNumId w:val="77"/>
  </w:num>
  <w:num w:numId="24">
    <w:abstractNumId w:val="79"/>
  </w:num>
  <w:num w:numId="25">
    <w:abstractNumId w:val="80"/>
  </w:num>
  <w:num w:numId="26">
    <w:abstractNumId w:val="78"/>
  </w:num>
  <w:num w:numId="27">
    <w:abstractNumId w:val="82"/>
  </w:num>
  <w:num w:numId="28">
    <w:abstractNumId w:val="75"/>
  </w:num>
  <w:num w:numId="29">
    <w:abstractNumId w:val="8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775EB"/>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0322"/>
    <w:rsid w:val="002139FC"/>
    <w:rsid w:val="00224037"/>
    <w:rsid w:val="002255D3"/>
    <w:rsid w:val="00235EB7"/>
    <w:rsid w:val="00255929"/>
    <w:rsid w:val="00257574"/>
    <w:rsid w:val="002575FF"/>
    <w:rsid w:val="00261376"/>
    <w:rsid w:val="00261830"/>
    <w:rsid w:val="00262497"/>
    <w:rsid w:val="00273057"/>
    <w:rsid w:val="00286134"/>
    <w:rsid w:val="00286D48"/>
    <w:rsid w:val="00290091"/>
    <w:rsid w:val="002B2F36"/>
    <w:rsid w:val="002D008B"/>
    <w:rsid w:val="002D2667"/>
    <w:rsid w:val="002E530D"/>
    <w:rsid w:val="002E615B"/>
    <w:rsid w:val="002E6667"/>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32CD"/>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2D7E"/>
    <w:rsid w:val="006C6809"/>
    <w:rsid w:val="006D3747"/>
    <w:rsid w:val="006D445E"/>
    <w:rsid w:val="006E022E"/>
    <w:rsid w:val="006E0D1A"/>
    <w:rsid w:val="006E1483"/>
    <w:rsid w:val="006E1943"/>
    <w:rsid w:val="006E416B"/>
    <w:rsid w:val="006E47BA"/>
    <w:rsid w:val="006F3B5E"/>
    <w:rsid w:val="006F61C7"/>
    <w:rsid w:val="007152DB"/>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07949"/>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309D"/>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0E9E"/>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1D9DF91D-3C05-42EB-B0CB-8C2F46F6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23955</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2019-12-10T09:09:00Z</cp:lastPrinted>
  <dcterms:created xsi:type="dcterms:W3CDTF">2020-06-22T10:51:00Z</dcterms:created>
  <dcterms:modified xsi:type="dcterms:W3CDTF">2020-06-22T10:51:00Z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