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280BCF58" w14:textId="14C300AD" w:rsidR="00A907AD" w:rsidRPr="005F6B71" w:rsidRDefault="003803A4" w:rsidP="00903588">
      <w:pPr>
        <w:pStyle w:val="Heading2"/>
        <w:ind w:left="0" w:firstLine="0"/>
        <w:rPr>
          <w:rFonts w:ascii="Times New Roman" w:hAnsi="Times New Roman" w:cs="Times New Roman"/>
          <w:color w:val="000000"/>
          <w:szCs w:val="24"/>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4BB67D3C" w14:textId="40A763EB" w:rsidR="00727DB9" w:rsidRPr="00A907AD" w:rsidRDefault="00A907AD" w:rsidP="00FA091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accompanying persons</w:t>
      </w:r>
      <w:r w:rsidR="00F4141A">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per distance band, by the unit contribution applicable to the distance band concerned and type of travel (standard or </w:t>
      </w:r>
      <w:r w:rsidR="00AE6865">
        <w:rPr>
          <w:rFonts w:ascii="Times New Roman" w:eastAsia="Calibri" w:hAnsi="Times New Roman" w:cs="Times New Roman"/>
          <w:sz w:val="24"/>
          <w:szCs w:val="24"/>
          <w:lang w:eastAsia="ar-SA"/>
        </w:rPr>
        <w:t xml:space="preserve">sustainable </w:t>
      </w:r>
      <w:r w:rsidR="00AE6865" w:rsidRPr="00A907AD">
        <w:rPr>
          <w:rFonts w:ascii="Times New Roman" w:eastAsia="Calibri" w:hAnsi="Times New Roman" w:cs="Times New Roman"/>
          <w:sz w:val="24"/>
          <w:szCs w:val="24"/>
          <w:lang w:eastAsia="ar-SA"/>
        </w:rPr>
        <w:t>means</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4B66FFC" w14:textId="09F12E89" w:rsidR="00050F4E" w:rsidRPr="00A76AD9" w:rsidRDefault="00050F4E" w:rsidP="002B56F3">
      <w:pPr>
        <w:suppressAutoHyphens/>
        <w:spacing w:after="240" w:line="276" w:lineRule="auto"/>
        <w:jc w:val="both"/>
        <w:rPr>
          <w:rFonts w:ascii="Times New Roman" w:eastAsia="SimSun" w:hAnsi="Times New Roman" w:cs="Times New Roman"/>
          <w:color w:val="000000"/>
          <w:sz w:val="24"/>
          <w:szCs w:val="24"/>
          <w:lang w:val="en-US" w:eastAsia="ar-SA"/>
        </w:rPr>
      </w:pPr>
      <w:r w:rsidRPr="0065476B">
        <w:rPr>
          <w:rFonts w:ascii="Times New Roman" w:eastAsia="SimSun" w:hAnsi="Times New Roman" w:cs="Times New Roman"/>
          <w:color w:val="000000"/>
          <w:sz w:val="24"/>
          <w:szCs w:val="24"/>
          <w:lang w:eastAsia="ar-SA"/>
        </w:rPr>
        <w:t xml:space="preserve">Individual activities: </w:t>
      </w:r>
      <w:r w:rsidR="00304445">
        <w:rPr>
          <w:rFonts w:ascii="Times New Roman" w:eastAsia="SimSun" w:hAnsi="Times New Roman" w:cs="Times New Roman"/>
          <w:color w:val="000000"/>
          <w:sz w:val="24"/>
          <w:szCs w:val="24"/>
          <w:lang w:eastAsia="ar-SA"/>
        </w:rPr>
        <w:t>P</w:t>
      </w:r>
      <w:r w:rsidRPr="0065476B">
        <w:rPr>
          <w:rFonts w:ascii="Times New Roman" w:eastAsia="Times New Roman" w:hAnsi="Times New Roman" w:cs="Times New Roman"/>
          <w:color w:val="000000"/>
          <w:sz w:val="24"/>
          <w:szCs w:val="24"/>
          <w:lang w:eastAsia="ar-SA"/>
        </w:rPr>
        <w:t>roof of attendance of the activity in the form of Europass Mobility or another type of document specifying the learning outcomes, as well as the starting and end date of the activity</w:t>
      </w:r>
      <w:r w:rsidRPr="0065476B">
        <w:rPr>
          <w:rFonts w:ascii="Times New Roman" w:eastAsia="SimSun" w:hAnsi="Times New Roman" w:cs="Times New Roman"/>
          <w:color w:val="000000"/>
          <w:sz w:val="24"/>
          <w:szCs w:val="24"/>
          <w:lang w:eastAsia="ar-SA"/>
        </w:rPr>
        <w:t xml:space="preserve">. In case accompanying persons have supported the participants during the activity, their names and duration of stay </w:t>
      </w:r>
      <w:r w:rsidR="00C96F25">
        <w:rPr>
          <w:rFonts w:ascii="Times New Roman" w:eastAsia="SimSun" w:hAnsi="Times New Roman" w:cs="Times New Roman"/>
          <w:color w:val="000000"/>
          <w:sz w:val="24"/>
          <w:szCs w:val="24"/>
          <w:lang w:eastAsia="ar-SA"/>
        </w:rPr>
        <w:t>wi</w:t>
      </w:r>
      <w:r w:rsidRPr="0065476B">
        <w:rPr>
          <w:rFonts w:ascii="Times New Roman" w:eastAsia="SimSun" w:hAnsi="Times New Roman" w:cs="Times New Roman"/>
          <w:color w:val="000000"/>
          <w:sz w:val="24"/>
          <w:szCs w:val="24"/>
          <w:lang w:eastAsia="ar-SA"/>
        </w:rPr>
        <w:t xml:space="preserve">ll also be included. The supporting documents must be </w:t>
      </w:r>
      <w:r w:rsidRPr="0065476B">
        <w:rPr>
          <w:rFonts w:ascii="Times New Roman" w:eastAsia="Times New Roman" w:hAnsi="Times New Roman" w:cs="Times New Roman"/>
          <w:color w:val="000000"/>
          <w:sz w:val="24"/>
          <w:szCs w:val="24"/>
          <w:lang w:eastAsia="ar-SA"/>
        </w:rPr>
        <w:t>signed by the hosting organisation and the participant.</w:t>
      </w:r>
      <w:r w:rsidR="009935E9" w:rsidRPr="0065476B">
        <w:rPr>
          <w:rFonts w:ascii="Times New Roman" w:eastAsia="Times New Roman" w:hAnsi="Times New Roman" w:cs="Times New Roman"/>
          <w:color w:val="000000"/>
          <w:sz w:val="24"/>
          <w:szCs w:val="24"/>
          <w:lang w:eastAsia="ar-SA"/>
        </w:rPr>
        <w:t xml:space="preserve"> </w:t>
      </w:r>
      <w:r w:rsidR="009935E9" w:rsidRPr="0065476B">
        <w:rPr>
          <w:rFonts w:ascii="Times New Roman" w:eastAsia="SimSun" w:hAnsi="Times New Roman" w:cs="Times New Roman"/>
          <w:color w:val="000000"/>
          <w:sz w:val="24"/>
          <w:szCs w:val="24"/>
          <w:lang w:eastAsia="ar-SA"/>
        </w:rPr>
        <w:t>For invited experts, the list of learning outcomes will be replaced with a learning programme provided by the expert</w:t>
      </w:r>
      <w:r w:rsidR="009935E9" w:rsidRPr="0065476B">
        <w:rPr>
          <w:rFonts w:ascii="Times New Roman" w:eastAsia="Times New Roman" w:hAnsi="Times New Roman" w:cs="Times New Roman"/>
          <w:color w:val="000000"/>
          <w:sz w:val="24"/>
          <w:szCs w:val="24"/>
          <w:lang w:eastAsia="ar-SA"/>
        </w:rPr>
        <w:t xml:space="preserve"> and signed by the inviting organisation.</w:t>
      </w:r>
      <w:r w:rsidRPr="0065476B">
        <w:rPr>
          <w:rFonts w:ascii="Times New Roman" w:eastAsia="Times New Roman" w:hAnsi="Times New Roman" w:cs="Times New Roman"/>
          <w:color w:val="000000"/>
          <w:sz w:val="24"/>
          <w:szCs w:val="24"/>
          <w:lang w:eastAsia="ar-SA"/>
        </w:rPr>
        <w:t xml:space="preserve"> Additionally, a signed grant agreement between the beneficiary and the participant </w:t>
      </w:r>
      <w:r w:rsidRPr="0065476B">
        <w:rPr>
          <w:rFonts w:ascii="Times New Roman" w:eastAsia="Times New Roman" w:hAnsi="Times New Roman" w:cs="Times New Roman"/>
          <w:color w:val="000000"/>
          <w:sz w:val="24"/>
          <w:szCs w:val="24"/>
          <w:lang w:eastAsia="ar-SA"/>
        </w:rPr>
        <w:lastRenderedPageBreak/>
        <w:t xml:space="preserve">will be required as supporting documentation for the following activity types: </w:t>
      </w:r>
      <w:r w:rsidR="000C5F45">
        <w:rPr>
          <w:rFonts w:ascii="Times New Roman" w:eastAsia="Times New Roman" w:hAnsi="Times New Roman" w:cs="Times New Roman"/>
          <w:color w:val="000000"/>
          <w:sz w:val="24"/>
          <w:szCs w:val="24"/>
          <w:lang w:val="en-US" w:eastAsia="ar-SA"/>
        </w:rPr>
        <w:t xml:space="preserve">Job shadowing, Teaching or training assignment, Courses and training, </w:t>
      </w:r>
      <w:r w:rsidR="003E0371">
        <w:rPr>
          <w:rFonts w:ascii="Times New Roman" w:eastAsia="Times New Roman" w:hAnsi="Times New Roman" w:cs="Times New Roman"/>
          <w:color w:val="000000"/>
          <w:sz w:val="24"/>
          <w:szCs w:val="24"/>
          <w:lang w:val="en-US" w:eastAsia="ar-SA"/>
        </w:rPr>
        <w:t xml:space="preserve">participation in VET skills competitions, </w:t>
      </w:r>
      <w:r w:rsidR="000C5F45">
        <w:rPr>
          <w:rFonts w:ascii="Times New Roman" w:eastAsia="Times New Roman" w:hAnsi="Times New Roman" w:cs="Times New Roman"/>
          <w:color w:val="000000"/>
          <w:sz w:val="24"/>
          <w:szCs w:val="24"/>
          <w:lang w:val="en-US" w:eastAsia="ar-SA"/>
        </w:rPr>
        <w:t xml:space="preserve">short-term learning mobility of </w:t>
      </w:r>
      <w:r w:rsidR="003E0371">
        <w:rPr>
          <w:rFonts w:ascii="Times New Roman" w:eastAsia="Times New Roman" w:hAnsi="Times New Roman" w:cs="Times New Roman"/>
          <w:color w:val="000000"/>
          <w:sz w:val="24"/>
          <w:szCs w:val="24"/>
          <w:lang w:val="en-US" w:eastAsia="ar-SA"/>
        </w:rPr>
        <w:t>VET</w:t>
      </w:r>
      <w:r w:rsidR="000C5F45">
        <w:rPr>
          <w:rFonts w:ascii="Times New Roman" w:eastAsia="Times New Roman" w:hAnsi="Times New Roman" w:cs="Times New Roman"/>
          <w:color w:val="000000"/>
          <w:sz w:val="24"/>
          <w:szCs w:val="24"/>
          <w:lang w:val="en-US" w:eastAsia="ar-SA"/>
        </w:rPr>
        <w:t xml:space="preserve"> learners, long-term learning mobility of </w:t>
      </w:r>
      <w:r w:rsidR="003E0371">
        <w:rPr>
          <w:rFonts w:ascii="Times New Roman" w:eastAsia="Times New Roman" w:hAnsi="Times New Roman" w:cs="Times New Roman"/>
          <w:color w:val="000000"/>
          <w:sz w:val="24"/>
          <w:szCs w:val="24"/>
          <w:lang w:val="en-US" w:eastAsia="ar-SA"/>
        </w:rPr>
        <w:t>VET</w:t>
      </w:r>
      <w:r w:rsidR="000C5F45">
        <w:rPr>
          <w:rFonts w:ascii="Times New Roman" w:eastAsia="Times New Roman" w:hAnsi="Times New Roman" w:cs="Times New Roman"/>
          <w:color w:val="000000"/>
          <w:sz w:val="24"/>
          <w:szCs w:val="24"/>
          <w:lang w:val="en-US" w:eastAsia="ar-SA"/>
        </w:rPr>
        <w:t xml:space="preserve"> learners</w:t>
      </w:r>
      <w:r w:rsidR="003E0371">
        <w:rPr>
          <w:rFonts w:ascii="Times New Roman" w:eastAsia="Times New Roman" w:hAnsi="Times New Roman" w:cs="Times New Roman"/>
          <w:color w:val="000000"/>
          <w:sz w:val="24"/>
          <w:szCs w:val="24"/>
          <w:lang w:val="en-US" w:eastAsia="ar-SA"/>
        </w:rPr>
        <w:t xml:space="preserve"> (ErasmusPro)</w:t>
      </w:r>
      <w:r w:rsidR="004E6362">
        <w:rPr>
          <w:rFonts w:ascii="Times New Roman" w:eastAsia="Times New Roman" w:hAnsi="Times New Roman" w:cs="Times New Roman"/>
          <w:color w:val="000000"/>
          <w:sz w:val="24"/>
          <w:szCs w:val="24"/>
          <w:lang w:val="en-US" w:eastAsia="ar-SA"/>
        </w:rPr>
        <w:t xml:space="preserve">, invited experts and hosting teachers and educators in training. </w:t>
      </w:r>
    </w:p>
    <w:p w14:paraId="4075C7A9" w14:textId="3EB2A850" w:rsidR="00405EFB" w:rsidRDefault="003E0371" w:rsidP="00F4141A">
      <w:pPr>
        <w:suppressAutoHyphens/>
        <w:spacing w:after="0" w:line="276" w:lineRule="auto"/>
        <w:jc w:val="both"/>
        <w:rPr>
          <w:rFonts w:ascii="Times New Roman" w:eastAsia="Calibri" w:hAnsi="Times New Roman" w:cs="Times New Roman"/>
          <w:sz w:val="24"/>
          <w:szCs w:val="24"/>
          <w:lang w:eastAsia="ar-SA"/>
        </w:rPr>
      </w:pPr>
      <w:r w:rsidRPr="0065476B" w:rsidDel="003E0371">
        <w:rPr>
          <w:rFonts w:ascii="Times New Roman" w:eastAsia="SimSun" w:hAnsi="Times New Roman" w:cs="Times New Roman"/>
          <w:color w:val="000000"/>
          <w:sz w:val="24"/>
          <w:szCs w:val="24"/>
          <w:lang w:eastAsia="ar-SA"/>
        </w:rPr>
        <w:t xml:space="preserve"> </w:t>
      </w:r>
      <w:r w:rsidR="00ED7C3D" w:rsidRPr="00DE2ED3">
        <w:rPr>
          <w:rFonts w:ascii="Times New Roman" w:eastAsia="Calibri" w:hAnsi="Times New Roman" w:cs="Times New Roman"/>
          <w:sz w:val="24"/>
          <w:szCs w:val="24"/>
          <w:lang w:eastAsia="ar-SA"/>
        </w:rPr>
        <w:t xml:space="preserve">If a </w:t>
      </w:r>
      <w:r w:rsidR="00ED7C3D">
        <w:rPr>
          <w:rFonts w:ascii="Times New Roman" w:eastAsia="Calibri" w:hAnsi="Times New Roman" w:cs="Times New Roman"/>
          <w:sz w:val="24"/>
          <w:szCs w:val="24"/>
          <w:lang w:eastAsia="ar-SA"/>
        </w:rPr>
        <w:t xml:space="preserve">the starting point of travel is </w:t>
      </w:r>
      <w:r w:rsidR="00ED7C3D" w:rsidRPr="00DE2ED3">
        <w:rPr>
          <w:rFonts w:ascii="Times New Roman" w:eastAsia="Calibri" w:hAnsi="Times New Roman" w:cs="Times New Roman"/>
          <w:sz w:val="24"/>
          <w:szCs w:val="24"/>
          <w:lang w:eastAsia="ar-SA"/>
        </w:rPr>
        <w:t xml:space="preserve">different </w:t>
      </w:r>
      <w:r w:rsidR="00ED7C3D">
        <w:rPr>
          <w:rFonts w:ascii="Times New Roman" w:eastAsia="Calibri" w:hAnsi="Times New Roman" w:cs="Times New Roman"/>
          <w:sz w:val="24"/>
          <w:szCs w:val="24"/>
          <w:lang w:eastAsia="ar-SA"/>
        </w:rPr>
        <w:t xml:space="preserve">than the </w:t>
      </w:r>
      <w:r w:rsidR="00ED7C3D" w:rsidRPr="00DE2ED3">
        <w:rPr>
          <w:rFonts w:ascii="Times New Roman" w:eastAsia="Calibri" w:hAnsi="Times New Roman" w:cs="Times New Roman"/>
          <w:sz w:val="24"/>
          <w:szCs w:val="24"/>
          <w:lang w:eastAsia="ar-SA"/>
        </w:rPr>
        <w:t xml:space="preserve">place of origin or </w:t>
      </w:r>
      <w:r w:rsidR="00ED7C3D">
        <w:rPr>
          <w:rFonts w:ascii="Times New Roman" w:eastAsia="Calibri" w:hAnsi="Times New Roman" w:cs="Times New Roman"/>
          <w:sz w:val="24"/>
          <w:szCs w:val="24"/>
          <w:lang w:eastAsia="ar-SA"/>
        </w:rPr>
        <w:t xml:space="preserve">the end point is different than the </w:t>
      </w:r>
      <w:r w:rsidR="00ED7C3D" w:rsidRPr="00DE2ED3">
        <w:rPr>
          <w:rFonts w:ascii="Times New Roman" w:eastAsia="Calibri" w:hAnsi="Times New Roman" w:cs="Times New Roman"/>
          <w:sz w:val="24"/>
          <w:szCs w:val="24"/>
          <w:lang w:eastAsia="ar-SA"/>
        </w:rPr>
        <w:t xml:space="preserve">venue, the beneficiary must </w:t>
      </w:r>
      <w:r w:rsidR="00ED7C3D">
        <w:rPr>
          <w:rFonts w:ascii="Times New Roman" w:eastAsia="Calibri" w:hAnsi="Times New Roman" w:cs="Times New Roman"/>
          <w:sz w:val="24"/>
          <w:szCs w:val="24"/>
          <w:lang w:eastAsia="ar-SA"/>
        </w:rPr>
        <w:t>report</w:t>
      </w:r>
      <w:r w:rsidR="00ED7C3D" w:rsidRPr="00DE2ED3">
        <w:rPr>
          <w:rFonts w:ascii="Times New Roman" w:eastAsia="Calibri" w:hAnsi="Times New Roman" w:cs="Times New Roman"/>
          <w:sz w:val="24"/>
          <w:szCs w:val="24"/>
          <w:lang w:eastAsia="ar-SA"/>
        </w:rPr>
        <w:t xml:space="preserve"> the reason for th</w:t>
      </w:r>
      <w:r w:rsidR="00ED7C3D">
        <w:rPr>
          <w:rFonts w:ascii="Times New Roman" w:eastAsia="Calibri" w:hAnsi="Times New Roman" w:cs="Times New Roman"/>
          <w:sz w:val="24"/>
          <w:szCs w:val="24"/>
          <w:lang w:eastAsia="ar-SA"/>
        </w:rPr>
        <w:t>is</w:t>
      </w:r>
      <w:r w:rsidR="00ED7C3D" w:rsidRPr="00DE2ED3">
        <w:rPr>
          <w:rFonts w:ascii="Times New Roman" w:eastAsia="Calibri" w:hAnsi="Times New Roman" w:cs="Times New Roman"/>
          <w:sz w:val="24"/>
          <w:szCs w:val="24"/>
          <w:lang w:eastAsia="ar-SA"/>
        </w:rPr>
        <w:t xml:space="preserve"> difference.</w:t>
      </w:r>
      <w:r w:rsidR="00ED7C3D">
        <w:rPr>
          <w:rFonts w:ascii="Times New Roman" w:eastAsia="Calibri" w:hAnsi="Times New Roman" w:cs="Times New Roman"/>
          <w:sz w:val="24"/>
          <w:szCs w:val="24"/>
          <w:lang w:eastAsia="ar-SA"/>
        </w:rPr>
        <w:t xml:space="preserve"> </w:t>
      </w:r>
      <w:r w:rsidR="00ED7C3D" w:rsidRPr="00DE2ED3">
        <w:rPr>
          <w:rFonts w:ascii="Times New Roman" w:eastAsia="Calibri" w:hAnsi="Times New Roman" w:cs="Times New Roman"/>
          <w:sz w:val="24"/>
          <w:szCs w:val="24"/>
          <w:lang w:eastAsia="ar-SA"/>
        </w:rPr>
        <w:t xml:space="preserve">In case no travel took place or </w:t>
      </w:r>
      <w:r w:rsidR="00ED7C3D">
        <w:rPr>
          <w:rFonts w:ascii="Times New Roman" w:eastAsia="Calibri" w:hAnsi="Times New Roman" w:cs="Times New Roman"/>
          <w:sz w:val="24"/>
          <w:szCs w:val="24"/>
          <w:lang w:eastAsia="ar-SA"/>
        </w:rPr>
        <w:t>the travel</w:t>
      </w:r>
      <w:r w:rsidR="00ED7C3D" w:rsidRPr="00DE2ED3">
        <w:rPr>
          <w:rFonts w:ascii="Times New Roman" w:eastAsia="Calibri" w:hAnsi="Times New Roman" w:cs="Times New Roman"/>
          <w:sz w:val="24"/>
          <w:szCs w:val="24"/>
          <w:lang w:eastAsia="ar-SA"/>
        </w:rPr>
        <w:t xml:space="preserve"> was funded from EU sources other than the Erasmus+ Programme, </w:t>
      </w:r>
      <w:r w:rsidR="00ED7C3D">
        <w:rPr>
          <w:rFonts w:ascii="Times New Roman" w:eastAsia="Calibri" w:hAnsi="Times New Roman" w:cs="Times New Roman"/>
          <w:sz w:val="24"/>
          <w:szCs w:val="24"/>
          <w:lang w:eastAsia="ar-SA"/>
        </w:rPr>
        <w:t xml:space="preserve">the </w:t>
      </w:r>
      <w:r w:rsidR="00ED7C3D"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00ED7C3D"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66EFEA97" w14:textId="77777777" w:rsidR="00F4141A" w:rsidRDefault="00F4141A" w:rsidP="00F4141A">
      <w:pPr>
        <w:suppressAutoHyphens/>
        <w:spacing w:after="0" w:line="276" w:lineRule="auto"/>
        <w:jc w:val="both"/>
        <w:rPr>
          <w:rFonts w:ascii="Times New Roman" w:eastAsia="Calibri" w:hAnsi="Times New Roman" w:cs="Times New Roman"/>
          <w:sz w:val="24"/>
          <w:szCs w:val="24"/>
          <w:lang w:eastAsia="ar-SA"/>
        </w:rPr>
      </w:pP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54BCBF55"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126FC7C5" w14:textId="6E2B6F9B" w:rsidR="000A6662" w:rsidRPr="000E3C7C" w:rsidRDefault="000A6662" w:rsidP="00804C45">
      <w:pPr>
        <w:pStyle w:val="ListParagraph"/>
        <w:suppressAutoHyphens/>
        <w:spacing w:after="240" w:line="276" w:lineRule="auto"/>
        <w:ind w:left="0"/>
        <w:rPr>
          <w:rFonts w:eastAsia="Calibri"/>
          <w:szCs w:val="24"/>
          <w:lang w:eastAsia="ar-SA"/>
        </w:rPr>
      </w:pPr>
      <w:r w:rsidRPr="000E3C7C">
        <w:rPr>
          <w:rFonts w:eastAsia="Calibri"/>
          <w:szCs w:val="24"/>
          <w:lang w:eastAsia="ar-SA"/>
        </w:rPr>
        <w:t>The same supporting documents as required for standard travel (</w:t>
      </w:r>
      <w:r w:rsidR="00D13A37" w:rsidRPr="000E3C7C">
        <w:rPr>
          <w:rFonts w:eastAsia="Calibri"/>
          <w:szCs w:val="24"/>
          <w:lang w:eastAsia="ar-SA"/>
        </w:rPr>
        <w:t xml:space="preserve">see section </w:t>
      </w:r>
      <w:r w:rsidRPr="000E3C7C">
        <w:rPr>
          <w:rFonts w:eastAsia="Calibri"/>
          <w:szCs w:val="24"/>
          <w:lang w:eastAsia="ar-SA"/>
        </w:rPr>
        <w:t>1.1.c).</w:t>
      </w:r>
    </w:p>
    <w:p w14:paraId="6BEC9BA5" w14:textId="60AB1150"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463809FE"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00762737">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6F362200" w14:textId="0AAB77D8"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Invited experts will not be asked to submit a participant report</w:t>
      </w:r>
      <w:r w:rsidRPr="00134C41">
        <w:rPr>
          <w:rFonts w:ascii="Times New Roman" w:eastAsia="Calibri" w:hAnsi="Times New Roman" w:cs="Times New Roman"/>
          <w:sz w:val="24"/>
          <w:szCs w:val="24"/>
          <w:lang w:eastAsia="ar-SA"/>
        </w:rPr>
        <w:t>.</w:t>
      </w:r>
    </w:p>
    <w:p w14:paraId="08A6E996" w14:textId="2195A38C" w:rsidR="00050F4E" w:rsidRDefault="00930ED8" w:rsidP="00CD78E4">
      <w:pPr>
        <w:tabs>
          <w:tab w:val="left" w:pos="993"/>
        </w:tabs>
        <w:suppressAutoHyphens/>
        <w:spacing w:line="276" w:lineRule="auto"/>
        <w:jc w:val="both"/>
        <w:rPr>
          <w:rFonts w:ascii="Times New Roman" w:eastAsia="Calibri" w:hAnsi="Times New Roman" w:cs="Times New Roman"/>
          <w:sz w:val="24"/>
          <w:szCs w:val="24"/>
          <w:lang w:eastAsia="ar-SA"/>
        </w:rPr>
      </w:pPr>
      <w:r w:rsidDel="00762737">
        <w:rPr>
          <w:rFonts w:ascii="Times New Roman" w:eastAsia="Times New Roman" w:hAnsi="Times New Roman"/>
          <w:i/>
          <w:color w:val="4AA55B"/>
          <w:sz w:val="24"/>
          <w:szCs w:val="24"/>
          <w:lang w:val="en-US"/>
        </w:rPr>
        <w:t xml:space="preserve"> </w:t>
      </w:r>
      <w:r w:rsidR="00050F4E" w:rsidRPr="00134C41">
        <w:rPr>
          <w:rFonts w:ascii="Times New Roman" w:eastAsia="Calibri" w:hAnsi="Times New Roman" w:cs="Times New Roman"/>
          <w:sz w:val="24"/>
          <w:szCs w:val="24"/>
          <w:lang w:eastAsia="ar-SA"/>
        </w:rPr>
        <w:t>Participants who fail to submit their report may be required to partially or fully reimburse the financial contribution received from Erasmus+.</w:t>
      </w:r>
    </w:p>
    <w:p w14:paraId="04AFF812" w14:textId="77777777" w:rsidR="00F4141A" w:rsidRPr="00134C41" w:rsidRDefault="00F4141A" w:rsidP="00CD78E4">
      <w:pPr>
        <w:tabs>
          <w:tab w:val="left" w:pos="993"/>
        </w:tabs>
        <w:suppressAutoHyphens/>
        <w:spacing w:line="276" w:lineRule="auto"/>
        <w:jc w:val="both"/>
        <w:rPr>
          <w:rFonts w:ascii="Times New Roman" w:eastAsia="Calibri" w:hAnsi="Times New Roman" w:cs="Times New Roman"/>
          <w:sz w:val="24"/>
          <w:szCs w:val="24"/>
          <w:lang w:eastAsia="ar-SA"/>
        </w:rPr>
      </w:pP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047080AE"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241C14E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actually undertaken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0EF90183" w14:textId="528D1ADF"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00050F4E"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 (see section 1.1.c)</w:t>
      </w:r>
    </w:p>
    <w:p w14:paraId="0A4CC338" w14:textId="77777777" w:rsidR="00F4141A" w:rsidRDefault="00F4141A" w:rsidP="00832806">
      <w:pPr>
        <w:suppressAutoHyphens/>
        <w:spacing w:after="200" w:line="276" w:lineRule="auto"/>
        <w:jc w:val="both"/>
        <w:rPr>
          <w:rFonts w:ascii="Times New Roman" w:eastAsia="Calibri" w:hAnsi="Times New Roman" w:cs="Times New Roman"/>
          <w:sz w:val="24"/>
          <w:szCs w:val="24"/>
          <w:lang w:eastAsia="ar-SA"/>
        </w:rPr>
      </w:pP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43F4B326"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w:t>
      </w:r>
      <w:r w:rsidR="00762737">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496595A6"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283EA9D2" w14:textId="3F5313D0" w:rsidR="00546C4D" w:rsidRPr="00134C41" w:rsidRDefault="00762737" w:rsidP="00FA0913">
      <w:pPr>
        <w:suppressAutoHyphens/>
        <w:spacing w:after="240" w:line="276" w:lineRule="auto"/>
        <w:jc w:val="both"/>
        <w:rPr>
          <w:rFonts w:ascii="Times New Roman" w:eastAsia="Calibri" w:hAnsi="Times New Roman" w:cs="Times New Roman"/>
          <w:sz w:val="24"/>
          <w:szCs w:val="24"/>
          <w:lang w:eastAsia="ar-SA"/>
        </w:rPr>
      </w:pPr>
      <w:r w:rsidRPr="00832806" w:rsidDel="00762737">
        <w:rPr>
          <w:rFonts w:ascii="Times New Roman" w:eastAsia="Times New Roman" w:hAnsi="Times New Roman"/>
          <w:i/>
          <w:color w:val="4AA55B"/>
          <w:sz w:val="24"/>
          <w:szCs w:val="24"/>
          <w:lang w:val="en-US"/>
        </w:rPr>
        <w:t xml:space="preserve"> </w:t>
      </w:r>
      <w:r w:rsidR="00546C4D">
        <w:rPr>
          <w:rFonts w:ascii="Times New Roman" w:eastAsia="Calibri" w:hAnsi="Times New Roman" w:cs="Times New Roman"/>
          <w:sz w:val="24"/>
          <w:szCs w:val="24"/>
          <w:lang w:eastAsia="ar-SA"/>
        </w:rPr>
        <w:t>T</w:t>
      </w:r>
      <w:r w:rsidR="00546C4D" w:rsidRPr="00134C41">
        <w:rPr>
          <w:rFonts w:ascii="Times New Roman" w:eastAsia="Calibri" w:hAnsi="Times New Roman" w:cs="Times New Roman"/>
          <w:sz w:val="24"/>
          <w:szCs w:val="24"/>
          <w:lang w:eastAsia="ar-SA"/>
        </w:rPr>
        <w:t xml:space="preserve">he same supporting documents as </w:t>
      </w:r>
      <w:r w:rsidR="00546C4D">
        <w:rPr>
          <w:rFonts w:ascii="Times New Roman" w:eastAsia="Calibri" w:hAnsi="Times New Roman" w:cs="Times New Roman"/>
          <w:sz w:val="24"/>
          <w:szCs w:val="24"/>
          <w:lang w:eastAsia="ar-SA"/>
        </w:rPr>
        <w:t>required for</w:t>
      </w:r>
      <w:r w:rsidR="00546C4D"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w:t>
      </w:r>
      <w:r w:rsidR="00DA4247">
        <w:rPr>
          <w:rFonts w:ascii="Times New Roman" w:eastAsia="Calibri" w:hAnsi="Times New Roman" w:cs="Times New Roman"/>
          <w:sz w:val="24"/>
          <w:szCs w:val="24"/>
          <w:lang w:eastAsia="ar-SA"/>
        </w:rPr>
        <w:t xml:space="preserve"> (see section 1.1.c)</w:t>
      </w:r>
      <w:r w:rsidR="00546C4D" w:rsidRPr="00134C41">
        <w:rPr>
          <w:rFonts w:ascii="Times New Roman" w:eastAsia="Calibri" w:hAnsi="Times New Roman" w:cs="Times New Roman"/>
          <w:sz w:val="24"/>
          <w:szCs w:val="24"/>
          <w:lang w:eastAsia="ar-SA"/>
        </w:rPr>
        <w:t>.</w:t>
      </w:r>
    </w:p>
    <w:p w14:paraId="4BCE76CA" w14:textId="55C36F7E" w:rsidR="00F4141A" w:rsidRDefault="00F640CD" w:rsidP="005F36AE">
      <w:pPr>
        <w:suppressAutoHyphens/>
        <w:spacing w:after="240" w:line="276" w:lineRule="auto"/>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In addition</w:t>
      </w:r>
      <w:r w:rsidR="002F37CC">
        <w:rPr>
          <w:rFonts w:ascii="Times New Roman" w:eastAsia="Calibri" w:hAnsi="Times New Roman" w:cs="Times New Roman"/>
          <w:color w:val="000000"/>
          <w:sz w:val="24"/>
          <w:szCs w:val="24"/>
          <w:lang w:eastAsia="ar-SA"/>
        </w:rPr>
        <w:t>:</w:t>
      </w:r>
      <w:r w:rsidR="00050F4E" w:rsidRPr="00DC77CF">
        <w:rPr>
          <w:rFonts w:ascii="Times New Roman" w:eastAsia="Calibri" w:hAnsi="Times New Roman" w:cs="Times New Roman"/>
          <w:color w:val="000000"/>
          <w:sz w:val="24"/>
          <w:szCs w:val="24"/>
          <w:lang w:eastAsia="ar-SA"/>
        </w:rPr>
        <w:t xml:space="preserve"> </w:t>
      </w:r>
      <w:r w:rsidR="00050F4E" w:rsidRPr="00DC77CF">
        <w:rPr>
          <w:rFonts w:ascii="Times New Roman" w:eastAsia="Times New Roman" w:hAnsi="Times New Roman" w:cs="Times New Roman"/>
          <w:color w:val="000000"/>
          <w:sz w:val="24"/>
          <w:szCs w:val="24"/>
          <w:lang w:eastAsia="ar-SA"/>
        </w:rPr>
        <w:t xml:space="preserve">documentation specified by the National Agency as </w:t>
      </w:r>
      <w:r w:rsidR="00546C4D">
        <w:rPr>
          <w:rFonts w:ascii="Times New Roman" w:eastAsia="Times New Roman" w:hAnsi="Times New Roman" w:cs="Times New Roman"/>
          <w:color w:val="000000"/>
          <w:sz w:val="24"/>
          <w:szCs w:val="24"/>
          <w:lang w:eastAsia="ar-SA"/>
        </w:rPr>
        <w:t xml:space="preserve">admissible </w:t>
      </w:r>
      <w:r w:rsidR="00050F4E" w:rsidRPr="00DC77CF">
        <w:rPr>
          <w:rFonts w:ascii="Times New Roman" w:eastAsia="Times New Roman" w:hAnsi="Times New Roman" w:cs="Times New Roman"/>
          <w:color w:val="000000"/>
          <w:sz w:val="24"/>
          <w:szCs w:val="24"/>
          <w:lang w:eastAsia="ar-SA"/>
        </w:rPr>
        <w:t>proof that the participant belongs to one of the categories of fewer opportunities listed in the Programme Guide.</w:t>
      </w:r>
    </w:p>
    <w:p w14:paraId="4599058C" w14:textId="77777777" w:rsidR="00F4141A" w:rsidRPr="00F4141A" w:rsidRDefault="00F4141A" w:rsidP="005F36AE">
      <w:pPr>
        <w:suppressAutoHyphens/>
        <w:spacing w:after="240" w:line="276" w:lineRule="auto"/>
        <w:jc w:val="both"/>
        <w:rPr>
          <w:rFonts w:ascii="Times New Roman" w:eastAsia="Times New Roman" w:hAnsi="Times New Roman" w:cs="Times New Roman"/>
          <w:color w:val="000000"/>
          <w:sz w:val="24"/>
          <w:szCs w:val="24"/>
          <w:lang w:eastAsia="ar-SA"/>
        </w:rPr>
      </w:pPr>
    </w:p>
    <w:p w14:paraId="7E1D1836" w14:textId="52B9A598" w:rsidR="00050F4E" w:rsidRPr="002F37CC" w:rsidRDefault="00AF1DF9" w:rsidP="00AF1DF9">
      <w:pPr>
        <w:pStyle w:val="Heading2"/>
        <w:ind w:left="0" w:firstLine="0"/>
        <w:rPr>
          <w:rFonts w:ascii="Times New Roman" w:eastAsia="Calibri" w:hAnsi="Times New Roman" w:cs="Times New Roman"/>
          <w:szCs w:val="24"/>
          <w:lang w:eastAsia="ar-SA"/>
        </w:rPr>
      </w:pPr>
      <w:r>
        <w:rPr>
          <w:rFonts w:eastAsia="Calibri"/>
          <w:lang w:eastAsia="ar-SA"/>
        </w:rPr>
        <w:t>1.8</w:t>
      </w:r>
      <w:r w:rsidR="00050F4E" w:rsidRPr="00AF1DF9">
        <w:rPr>
          <w:rFonts w:eastAsia="Calibri"/>
          <w:lang w:eastAsia="ar-SA"/>
        </w:rPr>
        <w:t xml:space="preserve"> Linguistic support</w:t>
      </w:r>
      <w:r w:rsidR="00050F4E" w:rsidRPr="002F37CC">
        <w:rPr>
          <w:rFonts w:ascii="Times New Roman" w:eastAsia="Calibri" w:hAnsi="Times New Roman" w:cs="Times New Roman"/>
          <w:szCs w:val="24"/>
          <w:lang w:eastAsia="ar-SA"/>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Participants that have received Online </w:t>
      </w:r>
      <w:r w:rsidR="0071363A" w:rsidRPr="00E34B20">
        <w:rPr>
          <w:rFonts w:ascii="Times New Roman" w:eastAsia="Calibri" w:hAnsi="Times New Roman" w:cs="Times New Roman"/>
          <w:sz w:val="24"/>
          <w:szCs w:val="24"/>
          <w:lang w:eastAsia="ar-SA"/>
        </w:rPr>
        <w:t>L</w:t>
      </w:r>
      <w:r w:rsidR="0071363A">
        <w:rPr>
          <w:rFonts w:ascii="Times New Roman" w:eastAsia="Calibri" w:hAnsi="Times New Roman" w:cs="Times New Roman"/>
          <w:sz w:val="24"/>
          <w:szCs w:val="24"/>
          <w:lang w:eastAsia="ar-SA"/>
        </w:rPr>
        <w:t>anguage</w:t>
      </w:r>
      <w:r w:rsidR="0071363A"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Support will be excluded from this calculation. Learners in long-term mobility will receive further linguistic support equivalent to the same unit contribution as specified in Annex 3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 xml:space="preserve">undertaken </w:t>
      </w:r>
      <w:r>
        <w:rPr>
          <w:rFonts w:ascii="Times New Roman" w:eastAsia="Calibri" w:hAnsi="Times New Roman" w:cs="Times New Roman"/>
          <w:sz w:val="24"/>
          <w:szCs w:val="24"/>
          <w:lang w:eastAsia="ar-SA"/>
        </w:rPr>
        <w:t>the</w:t>
      </w:r>
      <w:r w:rsidR="00050F4E" w:rsidRPr="00FF5388">
        <w:rPr>
          <w:rFonts w:ascii="Times New Roman" w:eastAsia="Calibri" w:hAnsi="Times New Roman" w:cs="Times New Roman"/>
          <w:sz w:val="24"/>
          <w:szCs w:val="24"/>
          <w:lang w:eastAsia="ar-SA"/>
        </w:rPr>
        <w:t xml:space="preserve"> language preparation in the language of instruction or work.</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587EB6FB" w:rsidR="00050F4E"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DE5A5F">
        <w:rPr>
          <w:rFonts w:ascii="Times New Roman" w:eastAsia="Calibri" w:hAnsi="Times New Roman" w:cs="Times New Roman"/>
          <w:sz w:val="24"/>
          <w:szCs w:val="24"/>
          <w:lang w:eastAsia="ar-SA"/>
        </w:rPr>
        <w:t xml:space="preserve">roof of attendance of language courses in the form of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p>
    <w:p w14:paraId="103EAD61" w14:textId="77777777" w:rsidR="00F4141A" w:rsidRDefault="00F4141A" w:rsidP="00DE5A5F">
      <w:pPr>
        <w:suppressAutoHyphens/>
        <w:spacing w:after="200" w:line="276" w:lineRule="auto"/>
        <w:jc w:val="both"/>
        <w:rPr>
          <w:rFonts w:ascii="Times New Roman" w:eastAsia="Calibri" w:hAnsi="Times New Roman" w:cs="Times New Roman"/>
          <w:sz w:val="24"/>
          <w:szCs w:val="24"/>
          <w:lang w:eastAsia="ar-SA"/>
        </w:rPr>
      </w:pP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1.9</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4AE4625D"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0"/>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lastRenderedPageBreak/>
        <w:t xml:space="preserve">Supporting documents: </w:t>
      </w:r>
    </w:p>
    <w:p w14:paraId="147B0C8E" w14:textId="68767108" w:rsidR="00050F4E" w:rsidRPr="00A73FEB" w:rsidRDefault="00DE5A5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P</w:t>
      </w:r>
      <w:r w:rsidR="00050F4E" w:rsidRPr="00A73FEB">
        <w:rPr>
          <w:rFonts w:ascii="Times New Roman" w:eastAsia="Calibri" w:hAnsi="Times New Roman" w:cs="Times New Roman"/>
          <w:sz w:val="24"/>
          <w:szCs w:val="24"/>
          <w:lang w:eastAsia="ar-SA"/>
        </w:rPr>
        <w:t>roof of enrolment in the course</w:t>
      </w:r>
      <w:r w:rsidR="00050F4E" w:rsidRPr="0065476B">
        <w:rPr>
          <w:rFonts w:ascii="Times New Roman" w:eastAsia="Calibri" w:hAnsi="Times New Roman" w:cs="Times New Roman"/>
          <w:sz w:val="24"/>
          <w:szCs w:val="24"/>
          <w:lang w:eastAsia="ar-SA"/>
        </w:rPr>
        <w:t xml:space="preserve"> </w:t>
      </w:r>
      <w:r w:rsidR="00710E6B">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and of payment of a course fee in the form of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Pr="00B60017">
        <w:rPr>
          <w:rFonts w:ascii="Times New Roman" w:eastAsia="Calibri" w:hAnsi="Times New Roman" w:cs="Times New Roman"/>
          <w:sz w:val="24"/>
          <w:szCs w:val="24"/>
          <w:lang w:eastAsia="ar-SA"/>
        </w:rPr>
        <w:t>paid only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1F4D151E" w:rsidR="00050F4E" w:rsidRDefault="00791FB8" w:rsidP="00791FB8">
      <w:pPr>
        <w:suppressAutoHyphens/>
        <w:spacing w:after="0" w:line="276" w:lineRule="auto"/>
        <w:jc w:val="both"/>
        <w:rPr>
          <w:rFonts w:ascii="Times New Roman" w:eastAsia="SimSu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preparatory visit in the form of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6B2FF337" w14:textId="77777777" w:rsidR="00F4141A" w:rsidRPr="0065476B" w:rsidRDefault="00F4141A" w:rsidP="00791FB8">
      <w:pPr>
        <w:suppressAutoHyphens/>
        <w:spacing w:after="0" w:line="276" w:lineRule="auto"/>
        <w:jc w:val="both"/>
        <w:rPr>
          <w:rFonts w:ascii="Times New Roman" w:eastAsia="SimSun" w:hAnsi="Times New Roman" w:cs="Times New Roman"/>
          <w:sz w:val="24"/>
          <w:szCs w:val="24"/>
          <w:lang w:eastAsia="ar-SA"/>
        </w:rPr>
      </w:pPr>
    </w:p>
    <w:p w14:paraId="24A904CC" w14:textId="2A667C3E" w:rsidR="00050F4E" w:rsidRPr="00DB7C89" w:rsidRDefault="00AF1DF9" w:rsidP="00C114C7">
      <w:pPr>
        <w:pStyle w:val="Heading1"/>
        <w:numPr>
          <w:ilvl w:val="0"/>
          <w:numId w:val="36"/>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31FB74A5" w14:textId="6954755C" w:rsidR="00050F4E" w:rsidRPr="00F4141A" w:rsidRDefault="00FA0913" w:rsidP="00F4141A">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050F4E" w:rsidRPr="0028078F">
        <w:rPr>
          <w:rFonts w:ascii="Times New Roman" w:eastAsia="Calibri" w:hAnsi="Times New Roman" w:cs="Times New Roman"/>
          <w:sz w:val="24"/>
          <w:szCs w:val="24"/>
          <w:lang w:eastAsia="ar-SA"/>
        </w:rPr>
        <w:t>osts directly related to participants with fewer opportunities and their accompanying persons</w:t>
      </w:r>
      <w:r w:rsidR="00562D7F">
        <w:rPr>
          <w:rFonts w:ascii="Times New Roman" w:eastAsia="Calibri" w:hAnsi="Times New Roman" w:cs="Times New Roman"/>
          <w:sz w:val="24"/>
          <w:szCs w:val="24"/>
          <w:lang w:eastAsia="ar-SA"/>
        </w:rPr>
        <w:t xml:space="preserve">. </w:t>
      </w:r>
      <w:r w:rsidR="00DE1EDA">
        <w:rPr>
          <w:rFonts w:ascii="Times New Roman" w:eastAsia="Calibri" w:hAnsi="Times New Roman" w:cs="Times New Roman"/>
          <w:sz w:val="24"/>
          <w:szCs w:val="24"/>
          <w:lang w:eastAsia="ar-SA"/>
        </w:rPr>
        <w:t xml:space="preserve">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p>
    <w:p w14:paraId="0764B183" w14:textId="58850BFE" w:rsidR="00DB06A3" w:rsidRPr="00DB06A3" w:rsidRDefault="00050F4E" w:rsidP="00F4141A">
      <w:pPr>
        <w:pStyle w:val="ListParagraph"/>
        <w:numPr>
          <w:ilvl w:val="0"/>
          <w:numId w:val="38"/>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377026CC" w:rsidR="00050F4E" w:rsidRPr="00134C41" w:rsidRDefault="0000660D"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val="en-US" w:eastAsia="ar-SA"/>
        </w:rPr>
        <w:t>P</w:t>
      </w:r>
      <w:r w:rsidRPr="00134C41">
        <w:rPr>
          <w:rFonts w:ascii="Times New Roman" w:eastAsia="Calibri" w:hAnsi="Times New Roman" w:cs="Times New Roman"/>
          <w:sz w:val="24"/>
          <w:szCs w:val="24"/>
          <w:lang w:eastAsia="ar-SA"/>
        </w:rPr>
        <w:t xml:space="preserve">roof </w:t>
      </w:r>
      <w:r w:rsidR="00050F4E" w:rsidRPr="00134C41">
        <w:rPr>
          <w:rFonts w:ascii="Times New Roman" w:eastAsia="Calibri" w:hAnsi="Times New Roman" w:cs="Times New Roman"/>
          <w:sz w:val="24"/>
          <w:szCs w:val="24"/>
          <w:lang w:eastAsia="ar-SA"/>
        </w:rPr>
        <w:t>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F4141A">
      <w:pPr>
        <w:pStyle w:val="ListParagraph"/>
        <w:numPr>
          <w:ilvl w:val="0"/>
          <w:numId w:val="38"/>
        </w:numPr>
        <w:tabs>
          <w:tab w:val="left" w:pos="709"/>
        </w:tabs>
        <w:suppressAutoHyphens/>
        <w:spacing w:line="276" w:lineRule="auto"/>
        <w:rPr>
          <w:rFonts w:eastAsia="Calibri"/>
          <w:szCs w:val="24"/>
          <w:lang w:eastAsia="ar-SA"/>
        </w:rPr>
      </w:pPr>
      <w:r w:rsidRPr="00151501">
        <w:rPr>
          <w:rFonts w:eastAsia="Calibri"/>
          <w:szCs w:val="24"/>
          <w:u w:val="single"/>
          <w:lang w:eastAsia="ar-SA"/>
        </w:rPr>
        <w:lastRenderedPageBreak/>
        <w:t>Reporting:</w:t>
      </w:r>
      <w:r w:rsidRPr="00151501">
        <w:rPr>
          <w:rFonts w:eastAsia="Calibri"/>
          <w:szCs w:val="24"/>
          <w:lang w:eastAsia="ar-SA"/>
        </w:rPr>
        <w:t xml:space="preserve"> </w:t>
      </w:r>
    </w:p>
    <w:p w14:paraId="77CCC6D2" w14:textId="0C831150" w:rsidR="00050F4E"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1B3BD3F3" w14:textId="77777777" w:rsidR="00562D7F" w:rsidRPr="00134C41" w:rsidRDefault="00562D7F" w:rsidP="00151501">
      <w:pPr>
        <w:tabs>
          <w:tab w:val="left" w:pos="709"/>
        </w:tabs>
        <w:suppressAutoHyphens/>
        <w:spacing w:line="276" w:lineRule="auto"/>
        <w:jc w:val="both"/>
        <w:rPr>
          <w:rFonts w:ascii="Times New Roman" w:eastAsia="Calibri" w:hAnsi="Times New Roman" w:cs="Times New Roman"/>
          <w:sz w:val="24"/>
          <w:szCs w:val="24"/>
          <w:lang w:eastAsia="ar-SA"/>
        </w:rPr>
      </w:pP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407E20B6"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4"/>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23275032" w14:textId="4C8A50E4" w:rsidR="00050F4E" w:rsidRPr="00134C41" w:rsidRDefault="0000660D" w:rsidP="00C114C7">
      <w:pPr>
        <w:pStyle w:val="ListParagraph"/>
        <w:numPr>
          <w:ilvl w:val="0"/>
          <w:numId w:val="34"/>
        </w:numPr>
        <w:suppressAutoHyphens/>
        <w:spacing w:after="0" w:line="276" w:lineRule="auto"/>
        <w:rPr>
          <w:rFonts w:eastAsia="SimSun"/>
          <w:szCs w:val="24"/>
          <w:lang w:eastAsia="ar-SA"/>
        </w:rPr>
      </w:pPr>
      <w:r w:rsidRPr="00832806" w:rsidDel="0000660D">
        <w:rPr>
          <w:rFonts w:cstheme="minorBidi"/>
          <w:i/>
          <w:color w:val="4AA55B"/>
          <w:szCs w:val="24"/>
          <w:lang w:val="en-US"/>
        </w:rPr>
        <w:t xml:space="preserve"> </w:t>
      </w:r>
      <w:r w:rsidR="00256088">
        <w:rPr>
          <w:rFonts w:eastAsia="SimSun"/>
          <w:szCs w:val="24"/>
          <w:lang w:eastAsia="ar-SA"/>
        </w:rPr>
        <w:t xml:space="preserve">Expensive travel cost: </w:t>
      </w:r>
      <w:r w:rsidR="00D77769">
        <w:rPr>
          <w:rFonts w:eastAsia="SimSun"/>
          <w:szCs w:val="24"/>
          <w:lang w:eastAsia="ar-SA"/>
        </w:rPr>
        <w:t>Cost of travel in the most economical and effective way i</w:t>
      </w:r>
      <w:r w:rsidR="006754F6">
        <w:rPr>
          <w:rFonts w:eastAsia="SimSun"/>
          <w:szCs w:val="24"/>
          <w:lang w:eastAsia="ar-SA"/>
        </w:rPr>
        <w:t xml:space="preserve">f </w:t>
      </w:r>
      <w:r w:rsidR="00562D7F">
        <w:rPr>
          <w:rFonts w:eastAsia="SimSun"/>
          <w:szCs w:val="24"/>
          <w:lang w:eastAsia="ar-SA"/>
        </w:rPr>
        <w:t xml:space="preserve">the unit </w:t>
      </w:r>
      <w:r w:rsidR="009534D2">
        <w:rPr>
          <w:rFonts w:eastAsia="SimSun"/>
          <w:szCs w:val="24"/>
          <w:lang w:eastAsia="ar-SA"/>
        </w:rPr>
        <w:t xml:space="preserve">contribution does not cover at least 70% of the </w:t>
      </w:r>
      <w:r w:rsidR="00D77769">
        <w:rPr>
          <w:rFonts w:eastAsia="SimSun"/>
          <w:szCs w:val="24"/>
          <w:lang w:eastAsia="ar-SA"/>
        </w:rPr>
        <w:t>c</w:t>
      </w:r>
      <w:r w:rsidR="00050F4E" w:rsidRPr="0049732A">
        <w:rPr>
          <w:rFonts w:eastAsia="SimSun"/>
          <w:szCs w:val="24"/>
          <w:lang w:eastAsia="ar-SA"/>
        </w:rPr>
        <w:t>osts of travel.</w:t>
      </w:r>
      <w:r w:rsidR="00825693">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bookmarkStart w:id="1" w:name="_GoBack"/>
      <w:bookmarkEnd w:id="1"/>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6818FE89" w:rsidR="000D69AE" w:rsidRDefault="00050F4E" w:rsidP="000D69AE">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In the case of </w:t>
      </w:r>
      <w:r w:rsidR="0067299F">
        <w:rPr>
          <w:rFonts w:ascii="Times New Roman" w:eastAsia="SimSun" w:hAnsi="Times New Roman" w:cs="Times New Roman"/>
          <w:sz w:val="24"/>
          <w:szCs w:val="24"/>
          <w:lang w:eastAsia="ar-SA"/>
        </w:rPr>
        <w:t xml:space="preserve">expensive </w:t>
      </w:r>
      <w:r w:rsidRPr="00134C41">
        <w:rPr>
          <w:rFonts w:ascii="Times New Roman" w:eastAsia="SimSun" w:hAnsi="Times New Roman" w:cs="Times New Roman"/>
          <w:sz w:val="24"/>
          <w:szCs w:val="24"/>
          <w:lang w:eastAsia="ar-SA"/>
        </w:rPr>
        <w:t xml:space="preserve">travel costs: </w:t>
      </w:r>
      <w:r w:rsidR="0000660D">
        <w:rPr>
          <w:rFonts w:ascii="Times New Roman" w:eastAsia="SimSun" w:hAnsi="Times New Roman" w:cs="Times New Roman"/>
          <w:sz w:val="24"/>
          <w:szCs w:val="24"/>
          <w:lang w:eastAsia="ar-SA"/>
        </w:rPr>
        <w:t>P</w:t>
      </w:r>
      <w:r w:rsidR="0000660D" w:rsidRPr="00134C41">
        <w:rPr>
          <w:rFonts w:ascii="Times New Roman" w:eastAsia="SimSun" w:hAnsi="Times New Roman" w:cs="Times New Roman"/>
          <w:sz w:val="24"/>
          <w:szCs w:val="24"/>
          <w:lang w:eastAsia="ar-SA"/>
        </w:rPr>
        <w:t xml:space="preserve">roof </w:t>
      </w:r>
      <w:r w:rsidRPr="00134C41">
        <w:rPr>
          <w:rFonts w:ascii="Times New Roman" w:eastAsia="SimSun" w:hAnsi="Times New Roman" w:cs="Times New Roman"/>
          <w:sz w:val="24"/>
          <w:szCs w:val="24"/>
          <w:lang w:eastAsia="ar-SA"/>
        </w:rPr>
        <w:t>of payment of the related costs on the basis of invoices specifying the name and address of the body issuing the invoice, the amount and currency, the date of the invoice and the travel route.</w:t>
      </w:r>
    </w:p>
    <w:p w14:paraId="38B1BD48" w14:textId="5A51E389" w:rsidR="00050F4E" w:rsidRDefault="00050F4E" w:rsidP="0087743F">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CC4D7" w14:textId="77777777" w:rsidR="0012060F" w:rsidRDefault="0012060F" w:rsidP="00817F20">
      <w:pPr>
        <w:spacing w:after="0" w:line="240" w:lineRule="auto"/>
      </w:pPr>
      <w:r>
        <w:separator/>
      </w:r>
    </w:p>
  </w:endnote>
  <w:endnote w:type="continuationSeparator" w:id="0">
    <w:p w14:paraId="50C129BF" w14:textId="77777777" w:rsidR="0012060F" w:rsidRDefault="0012060F" w:rsidP="00817F20">
      <w:pPr>
        <w:spacing w:after="0" w:line="240" w:lineRule="auto"/>
      </w:pPr>
      <w:r>
        <w:continuationSeparator/>
      </w:r>
    </w:p>
  </w:endnote>
  <w:endnote w:type="continuationNotice" w:id="1">
    <w:p w14:paraId="3B3B868B" w14:textId="77777777" w:rsidR="0012060F" w:rsidRDefault="00120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8461"/>
      <w:docPartObj>
        <w:docPartGallery w:val="Page Numbers (Bottom of Page)"/>
        <w:docPartUnique/>
      </w:docPartObj>
    </w:sdtPr>
    <w:sdtEndPr>
      <w:rPr>
        <w:noProof/>
      </w:rPr>
    </w:sdtEndPr>
    <w:sdtContent>
      <w:p w14:paraId="4931ABD7" w14:textId="17FBC55E" w:rsidR="00E0295F" w:rsidRDefault="00E0295F">
        <w:pPr>
          <w:pStyle w:val="Footer"/>
          <w:jc w:val="right"/>
        </w:pPr>
        <w:r>
          <w:fldChar w:fldCharType="begin"/>
        </w:r>
        <w:r>
          <w:instrText xml:space="preserve"> PAGE   \* MERGEFORMAT </w:instrText>
        </w:r>
        <w:r>
          <w:fldChar w:fldCharType="separate"/>
        </w:r>
        <w:r w:rsidR="00562D7F">
          <w:rPr>
            <w:noProof/>
          </w:rPr>
          <w:t>6</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10D4" w14:textId="77777777" w:rsidR="0012060F" w:rsidRDefault="0012060F" w:rsidP="00817F20">
      <w:pPr>
        <w:spacing w:after="0" w:line="240" w:lineRule="auto"/>
      </w:pPr>
      <w:r>
        <w:separator/>
      </w:r>
    </w:p>
  </w:footnote>
  <w:footnote w:type="continuationSeparator" w:id="0">
    <w:p w14:paraId="64DAA596" w14:textId="77777777" w:rsidR="0012060F" w:rsidRDefault="0012060F" w:rsidP="00817F20">
      <w:pPr>
        <w:spacing w:after="0" w:line="240" w:lineRule="auto"/>
      </w:pPr>
      <w:r>
        <w:continuationSeparator/>
      </w:r>
    </w:p>
  </w:footnote>
  <w:footnote w:type="continuationNotice" w:id="1">
    <w:p w14:paraId="70AF0853" w14:textId="77777777" w:rsidR="0012060F" w:rsidRDefault="001206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AD6B78"/>
    <w:multiLevelType w:val="hybridMultilevel"/>
    <w:tmpl w:val="54C0CEFE"/>
    <w:name w:val="WWNum362"/>
    <w:lvl w:ilvl="0" w:tplc="8F868D4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517E15CB"/>
    <w:multiLevelType w:val="hybridMultilevel"/>
    <w:tmpl w:val="62525472"/>
    <w:lvl w:ilvl="0" w:tplc="233292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2"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2"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9"/>
  </w:num>
  <w:num w:numId="3">
    <w:abstractNumId w:val="28"/>
  </w:num>
  <w:num w:numId="4">
    <w:abstractNumId w:val="24"/>
  </w:num>
  <w:num w:numId="5">
    <w:abstractNumId w:val="23"/>
  </w:num>
  <w:num w:numId="6">
    <w:abstractNumId w:val="46"/>
  </w:num>
  <w:num w:numId="7">
    <w:abstractNumId w:val="49"/>
  </w:num>
  <w:num w:numId="8">
    <w:abstractNumId w:val="48"/>
  </w:num>
  <w:num w:numId="9">
    <w:abstractNumId w:val="50"/>
  </w:num>
  <w:num w:numId="10">
    <w:abstractNumId w:val="27"/>
  </w:num>
  <w:num w:numId="11">
    <w:abstractNumId w:val="31"/>
  </w:num>
  <w:num w:numId="12">
    <w:abstractNumId w:val="33"/>
  </w:num>
  <w:num w:numId="13">
    <w:abstractNumId w:val="32"/>
  </w:num>
  <w:num w:numId="14">
    <w:abstractNumId w:val="22"/>
  </w:num>
  <w:num w:numId="15">
    <w:abstractNumId w:val="35"/>
  </w:num>
  <w:num w:numId="16">
    <w:abstractNumId w:val="5"/>
  </w:num>
  <w:num w:numId="17">
    <w:abstractNumId w:val="6"/>
  </w:num>
  <w:num w:numId="18">
    <w:abstractNumId w:val="11"/>
  </w:num>
  <w:num w:numId="19">
    <w:abstractNumId w:val="19"/>
  </w:num>
  <w:num w:numId="20">
    <w:abstractNumId w:val="39"/>
  </w:num>
  <w:num w:numId="21">
    <w:abstractNumId w:val="21"/>
  </w:num>
  <w:num w:numId="22">
    <w:abstractNumId w:val="34"/>
  </w:num>
  <w:num w:numId="23">
    <w:abstractNumId w:val="42"/>
    <w:lvlOverride w:ilvl="0">
      <w:startOverride w:val="1"/>
    </w:lvlOverride>
    <w:lvlOverride w:ilvl="1"/>
    <w:lvlOverride w:ilvl="2"/>
    <w:lvlOverride w:ilvl="3"/>
    <w:lvlOverride w:ilvl="4"/>
    <w:lvlOverride w:ilvl="5"/>
    <w:lvlOverride w:ilvl="6"/>
    <w:lvlOverride w:ilvl="7"/>
    <w:lvlOverride w:ilvl="8"/>
  </w:num>
  <w:num w:numId="24">
    <w:abstractNumId w:val="47"/>
  </w:num>
  <w:num w:numId="25">
    <w:abstractNumId w:val="40"/>
  </w:num>
  <w:num w:numId="26">
    <w:abstractNumId w:val="37"/>
  </w:num>
  <w:num w:numId="27">
    <w:abstractNumId w:val="44"/>
  </w:num>
  <w:num w:numId="28">
    <w:abstractNumId w:val="45"/>
  </w:num>
  <w:num w:numId="29">
    <w:abstractNumId w:val="51"/>
  </w:num>
  <w:num w:numId="30">
    <w:abstractNumId w:val="30"/>
  </w:num>
  <w:num w:numId="31">
    <w:abstractNumId w:val="43"/>
  </w:num>
  <w:num w:numId="32">
    <w:abstractNumId w:val="55"/>
  </w:num>
  <w:num w:numId="33">
    <w:abstractNumId w:val="36"/>
  </w:num>
  <w:num w:numId="34">
    <w:abstractNumId w:val="53"/>
  </w:num>
  <w:num w:numId="35">
    <w:abstractNumId w:val="54"/>
  </w:num>
  <w:num w:numId="36">
    <w:abstractNumId w:val="52"/>
  </w:num>
  <w:num w:numId="37">
    <w:abstractNumId w:val="38"/>
  </w:num>
  <w:num w:numId="38">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B7"/>
    <w:rsid w:val="000018AA"/>
    <w:rsid w:val="0000272E"/>
    <w:rsid w:val="000031F1"/>
    <w:rsid w:val="00003626"/>
    <w:rsid w:val="00003724"/>
    <w:rsid w:val="00004D49"/>
    <w:rsid w:val="00004DFA"/>
    <w:rsid w:val="00005BFA"/>
    <w:rsid w:val="0000620F"/>
    <w:rsid w:val="0000660D"/>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C5F45"/>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060F"/>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57DDB"/>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185E"/>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2EF5"/>
    <w:rsid w:val="003D4BA9"/>
    <w:rsid w:val="003D4DF0"/>
    <w:rsid w:val="003D501C"/>
    <w:rsid w:val="003E0371"/>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D4B2D"/>
    <w:rsid w:val="004E2C45"/>
    <w:rsid w:val="004E34E0"/>
    <w:rsid w:val="004E4413"/>
    <w:rsid w:val="004E6362"/>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2F7D"/>
    <w:rsid w:val="00557C89"/>
    <w:rsid w:val="00560CAB"/>
    <w:rsid w:val="005613B5"/>
    <w:rsid w:val="005619CC"/>
    <w:rsid w:val="00562D7F"/>
    <w:rsid w:val="00563330"/>
    <w:rsid w:val="00565768"/>
    <w:rsid w:val="00565FCF"/>
    <w:rsid w:val="00572320"/>
    <w:rsid w:val="0057360D"/>
    <w:rsid w:val="00573BA8"/>
    <w:rsid w:val="005760BA"/>
    <w:rsid w:val="005769E9"/>
    <w:rsid w:val="00576BFE"/>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2737"/>
    <w:rsid w:val="00763944"/>
    <w:rsid w:val="0076646C"/>
    <w:rsid w:val="007709F3"/>
    <w:rsid w:val="00770A2D"/>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2C3"/>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588"/>
    <w:rsid w:val="00903AF7"/>
    <w:rsid w:val="00911569"/>
    <w:rsid w:val="00914615"/>
    <w:rsid w:val="0091492B"/>
    <w:rsid w:val="00916113"/>
    <w:rsid w:val="00926109"/>
    <w:rsid w:val="009262B2"/>
    <w:rsid w:val="00926EE9"/>
    <w:rsid w:val="00930908"/>
    <w:rsid w:val="00930ED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3DFE"/>
    <w:rsid w:val="00A35B1F"/>
    <w:rsid w:val="00A36B10"/>
    <w:rsid w:val="00A4161E"/>
    <w:rsid w:val="00A41A0E"/>
    <w:rsid w:val="00A4238B"/>
    <w:rsid w:val="00A533B3"/>
    <w:rsid w:val="00A55C59"/>
    <w:rsid w:val="00A57CE6"/>
    <w:rsid w:val="00A7206F"/>
    <w:rsid w:val="00A72929"/>
    <w:rsid w:val="00A72DEC"/>
    <w:rsid w:val="00A73FEB"/>
    <w:rsid w:val="00A76AD9"/>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5F61"/>
    <w:rsid w:val="00B364E3"/>
    <w:rsid w:val="00B520C7"/>
    <w:rsid w:val="00B528FE"/>
    <w:rsid w:val="00B54BE4"/>
    <w:rsid w:val="00B56353"/>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0DF"/>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41A"/>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913"/>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89BFCAE-A505-4157-99E7-42247CCA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Despo Demetriou</cp:lastModifiedBy>
  <cp:revision>33</cp:revision>
  <cp:lastPrinted>2022-10-20T07:45:00Z</cp:lastPrinted>
  <dcterms:created xsi:type="dcterms:W3CDTF">2023-02-22T10:18:00Z</dcterms:created>
  <dcterms:modified xsi:type="dcterms:W3CDTF">2023-07-12T11:34:00Z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