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EFCC" w14:textId="68F4257C" w:rsidR="00852D63" w:rsidRDefault="00670796" w:rsidP="00795888">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r w:rsidR="003302C5">
        <w:rPr>
          <w:b/>
          <w:smallCaps/>
          <w:sz w:val="32"/>
        </w:rPr>
        <w:t xml:space="preserve"> Call year 2024</w:t>
      </w:r>
    </w:p>
    <w:p w14:paraId="0749DE07" w14:textId="77777777" w:rsidR="00795888" w:rsidRPr="00795888" w:rsidRDefault="00795888" w:rsidP="00795888">
      <w:pPr>
        <w:spacing w:before="0"/>
        <w:jc w:val="center"/>
        <w:rPr>
          <w:b/>
          <w:smallCaps/>
          <w:sz w:val="32"/>
        </w:rPr>
      </w:pPr>
    </w:p>
    <w:p w14:paraId="36D75C9E" w14:textId="357DEDAF" w:rsidR="00981594" w:rsidRPr="00A20DD6" w:rsidRDefault="00981594" w:rsidP="00F76A11">
      <w:pPr>
        <w:spacing w:before="0"/>
      </w:pPr>
      <w:r>
        <w:t xml:space="preserve">This </w:t>
      </w:r>
      <w:r w:rsidRPr="002C1B01">
        <w:t>document defines detailed 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481"/>
        <w:gridCol w:w="6761"/>
      </w:tblGrid>
      <w:tr w:rsidR="001C4786" w:rsidRPr="00D232DF" w14:paraId="24AC851E" w14:textId="77777777" w:rsidTr="00217561">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2175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522B76DC" w:rsidR="001C4786" w:rsidRPr="00E04827" w:rsidRDefault="00E04827" w:rsidP="00217561">
            <w:pPr>
              <w:spacing w:before="0" w:after="0" w:line="240" w:lineRule="auto"/>
            </w:pPr>
            <w:r>
              <w:t xml:space="preserve">CY01 Cyprus, Foundation for the Management of European Lifelong Learning Programmes </w:t>
            </w:r>
          </w:p>
        </w:tc>
      </w:tr>
      <w:tr w:rsidR="001C4786" w:rsidRPr="00D232DF" w14:paraId="5D98C8AB"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217561">
            <w:pPr>
              <w:spacing w:before="0" w:after="0" w:line="240" w:lineRule="auto"/>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3E99199A" w:rsidR="001C4786" w:rsidRPr="00F76A11" w:rsidRDefault="001C4786" w:rsidP="00217561">
            <w:pPr>
              <w:spacing w:before="0" w:after="0" w:line="240" w:lineRule="auto"/>
              <w:rPr>
                <w:highlight w:val="cyan"/>
              </w:rPr>
            </w:pPr>
            <w:r w:rsidRPr="00E04827">
              <w:t>VET</w:t>
            </w:r>
          </w:p>
        </w:tc>
      </w:tr>
      <w:tr w:rsidR="00814F52" w:rsidRPr="00D232DF" w14:paraId="7E9A6B05"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2175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414EA093" w:rsidR="001C4786" w:rsidRPr="00F76A11" w:rsidRDefault="00E04827" w:rsidP="00217561">
            <w:pPr>
              <w:spacing w:before="0" w:after="0" w:line="240" w:lineRule="auto"/>
              <w:rPr>
                <w:highlight w:val="cyan"/>
              </w:rPr>
            </w:pPr>
            <w:r w:rsidRPr="00E04827">
              <w:t>2024</w:t>
            </w:r>
          </w:p>
        </w:tc>
      </w:tr>
    </w:tbl>
    <w:p w14:paraId="0013131B" w14:textId="2980613C" w:rsidR="00921AA1" w:rsidRPr="00EA0A64" w:rsidRDefault="002B26D6" w:rsidP="00795888">
      <w:pPr>
        <w:pStyle w:val="Heading1"/>
        <w:numPr>
          <w:ilvl w:val="0"/>
          <w:numId w:val="25"/>
        </w:numPr>
      </w:pPr>
      <w:r w:rsidRPr="00EA0A64">
        <w:t>Available budget</w:t>
      </w:r>
      <w:r w:rsidR="00795888" w:rsidRPr="00795888">
        <w:t xml:space="preserve"> </w:t>
      </w:r>
      <w:r w:rsidR="00795888" w:rsidRPr="00795888">
        <w:rPr>
          <w:u w:val="single"/>
        </w:rPr>
        <w:t>for vet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542"/>
        <w:gridCol w:w="3700"/>
      </w:tblGrid>
      <w:tr w:rsidR="00921AA1" w:rsidRPr="00D232DF" w14:paraId="5499E3BC"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18AA130C" w:rsidR="00921AA1" w:rsidRPr="003F19D0" w:rsidRDefault="00921AA1" w:rsidP="00217561">
            <w:pPr>
              <w:spacing w:before="0" w:after="0" w:line="240" w:lineRule="auto"/>
            </w:pPr>
            <w:r>
              <w:t>Total budget available for allocation</w:t>
            </w:r>
            <w:r w:rsidR="007165D5">
              <w:rPr>
                <w:rStyle w:val="FootnoteReference"/>
                <w:b/>
              </w:rPr>
              <w:footnoteReference w:id="2"/>
            </w:r>
            <w:r>
              <w:t>:</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1883CB6C" w:rsidR="00921AA1" w:rsidRPr="00E04827" w:rsidRDefault="00E04827" w:rsidP="00E04827">
            <w:pPr>
              <w:rPr>
                <w:rFonts w:ascii="Calibri" w:eastAsia="Calibri" w:hAnsi="Calibri" w:cs="Calibri"/>
                <w:lang w:val="el-GR"/>
              </w:rPr>
            </w:pPr>
            <w:r w:rsidRPr="0065139A">
              <w:rPr>
                <w:rFonts w:ascii="Calibri" w:eastAsia="Calibri" w:hAnsi="Calibri" w:cs="Calibri"/>
                <w:b/>
                <w:lang w:val="el-GR"/>
              </w:rPr>
              <w:t>€</w:t>
            </w:r>
            <w:r w:rsidRPr="00F246CD">
              <w:rPr>
                <w:rFonts w:ascii="Calibri" w:eastAsia="Calibri" w:hAnsi="Calibri" w:cs="Calibri"/>
                <w:b/>
                <w:lang w:val="el-GR"/>
              </w:rPr>
              <w:t>2.238.851</w:t>
            </w:r>
          </w:p>
        </w:tc>
      </w:tr>
    </w:tbl>
    <w:p w14:paraId="4C80C6B7" w14:textId="5056FBA7" w:rsidR="00012512" w:rsidRPr="0029117B" w:rsidRDefault="006D7FAE" w:rsidP="00F76A11">
      <w:pPr>
        <w:spacing w:before="120"/>
      </w:pPr>
      <w:r>
        <w:t>Out of t</w:t>
      </w:r>
      <w:r w:rsidR="00012512">
        <w:t xml:space="preserve">he </w:t>
      </w:r>
      <w:r w:rsidR="00A67E00">
        <w:t>available budget</w:t>
      </w:r>
      <w:r w:rsidR="00F10EC0">
        <w:t>,</w:t>
      </w:r>
      <w:r w:rsidR="00A67E00">
        <w:t xml:space="preserve"> </w:t>
      </w:r>
      <w:r>
        <w:t>at least</w:t>
      </w:r>
      <w:r w:rsidR="00F10EC0">
        <w:rPr>
          <w:rStyle w:val="FootnoteReference"/>
        </w:rPr>
        <w:footnoteReference w:id="3"/>
      </w:r>
      <w:r>
        <w:t xml:space="preserve"> the following amount</w:t>
      </w:r>
      <w:r w:rsidR="00BE1617">
        <w:t xml:space="preserve">s </w:t>
      </w:r>
      <w:r>
        <w:t xml:space="preserve">will be </w:t>
      </w:r>
      <w:r w:rsidR="00F10EC0">
        <w:t>allocated for the specified</w:t>
      </w:r>
      <w:r>
        <w:t xml:space="preserve"> </w:t>
      </w:r>
      <w:r w:rsidR="00BE1617">
        <w:t>purposes</w:t>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542"/>
        <w:gridCol w:w="3700"/>
      </w:tblGrid>
      <w:tr w:rsidR="00012512" w:rsidRPr="00D232DF" w14:paraId="36E05F9F"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17561">
            <w:pPr>
              <w:spacing w:before="0" w:after="0" w:line="240" w:lineRule="auto"/>
            </w:pPr>
            <w:r>
              <w:t>Basic grants and financial</w:t>
            </w:r>
            <w:r w:rsidR="00012512"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7009F924" w:rsidR="00012512" w:rsidRPr="00C12C09" w:rsidRDefault="006960D1" w:rsidP="00026EFB">
            <w:pPr>
              <w:spacing w:before="0" w:after="0" w:line="240" w:lineRule="auto"/>
            </w:pPr>
            <w:r>
              <w:t>685</w:t>
            </w:r>
            <w:r w:rsidR="00E04827" w:rsidRPr="00C12C09">
              <w:t>.0</w:t>
            </w:r>
            <w:r w:rsidR="00C12C09" w:rsidRPr="00C12C09">
              <w:t>00</w:t>
            </w:r>
            <w:r w:rsidR="00E04827" w:rsidRPr="00C12C09">
              <w:t xml:space="preserve"> EUR</w:t>
            </w:r>
          </w:p>
        </w:tc>
      </w:tr>
      <w:tr w:rsidR="00012512" w:rsidRPr="00D232DF" w14:paraId="26E784F3"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217561">
            <w:pPr>
              <w:spacing w:before="0" w:after="0" w:line="240" w:lineRule="auto"/>
            </w:pPr>
            <w:r w:rsidRPr="00212ADC">
              <w:t>Qualitative performance</w:t>
            </w:r>
            <w:r w:rsidR="0031184D">
              <w:t xml:space="preserve"> and </w:t>
            </w:r>
            <w:r w:rsidR="0005523F">
              <w:t xml:space="preserve">policy </w:t>
            </w:r>
            <w:r w:rsidR="00CB708A">
              <w:t>priorit</w:t>
            </w:r>
            <w:r w:rsidR="0005523F">
              <w: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193846E7" w:rsidR="00012512" w:rsidRPr="00C12C09" w:rsidRDefault="00665F81" w:rsidP="00026EFB">
            <w:pPr>
              <w:spacing w:before="0" w:after="0" w:line="240" w:lineRule="auto"/>
            </w:pPr>
            <w:r>
              <w:t>89</w:t>
            </w:r>
            <w:r w:rsidR="00C12C09" w:rsidRPr="00C12C09">
              <w:t>0.000 EUR</w:t>
            </w:r>
          </w:p>
        </w:tc>
      </w:tr>
      <w:tr w:rsidR="00BE1617" w:rsidRPr="00D232DF" w14:paraId="0145FEF5"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217561">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6F95BC35" w:rsidR="00BE1617" w:rsidRPr="00C12C09" w:rsidDel="001065F4" w:rsidRDefault="00026EFB" w:rsidP="00026EFB">
            <w:pPr>
              <w:spacing w:before="0" w:after="0" w:line="240" w:lineRule="auto"/>
            </w:pPr>
            <w:r>
              <w:t>100.000 EUR</w:t>
            </w:r>
          </w:p>
        </w:tc>
      </w:tr>
    </w:tbl>
    <w:p w14:paraId="08363443" w14:textId="391863EC" w:rsidR="00155288" w:rsidRPr="002B26D6" w:rsidRDefault="002B26D6" w:rsidP="003302C5">
      <w:pPr>
        <w:pStyle w:val="Heading1"/>
        <w:numPr>
          <w:ilvl w:val="0"/>
          <w:numId w:val="25"/>
        </w:numPr>
      </w:pPr>
      <w:r w:rsidRPr="002B26D6">
        <w:t>Estimating the budget required to implement the requested activities</w:t>
      </w:r>
    </w:p>
    <w:p w14:paraId="227FA02B" w14:textId="13E063B6" w:rsidR="00155288" w:rsidRDefault="00D030C0" w:rsidP="00F76A11">
      <w:pPr>
        <w:spacing w:before="0"/>
      </w:pPr>
      <w:r>
        <w:t xml:space="preserve">Based on the </w:t>
      </w:r>
      <w:r w:rsidR="00AE3ECF">
        <w:t>funding rules</w:t>
      </w:r>
      <w:r w:rsidRPr="004F1AAA">
        <w:t xml:space="preserve"> defined in the Programme Guide </w:t>
      </w:r>
      <w:r>
        <w:t>and</w:t>
      </w:r>
      <w:r w:rsidRPr="004F1AAA">
        <w:t xml:space="preserve"> historical data on </w:t>
      </w:r>
      <w:r>
        <w:t>grants for similar activities, t</w:t>
      </w:r>
      <w:r w:rsidR="00010091" w:rsidRPr="004F1AAA">
        <w:t>he National Agency</w:t>
      </w:r>
      <w:r w:rsidR="00391D9F">
        <w:t xml:space="preserve"> will </w:t>
      </w:r>
      <w:r w:rsidR="00FA7C56">
        <w:t>estimate</w:t>
      </w:r>
      <w:r w:rsidR="008F52F6">
        <w:t xml:space="preserve"> the</w:t>
      </w:r>
      <w:r w:rsidR="00FA7C56">
        <w:t xml:space="preserve"> </w:t>
      </w:r>
      <w:r w:rsidR="00C354C8">
        <w:t xml:space="preserve">budget required to implement </w:t>
      </w:r>
      <w:r>
        <w:t xml:space="preserve">the </w:t>
      </w:r>
      <w:r w:rsidR="00C354C8">
        <w:t xml:space="preserve">activities </w:t>
      </w:r>
      <w:r w:rsidR="004F1AAA">
        <w:t xml:space="preserve">requested by </w:t>
      </w:r>
      <w:r w:rsidR="00010091">
        <w:t>each</w:t>
      </w:r>
      <w:r w:rsidR="004F1AAA">
        <w:t xml:space="preserve"> applicant</w:t>
      </w:r>
      <w:r w:rsidR="00602A8D">
        <w:t xml:space="preserve">. </w:t>
      </w:r>
      <w:bookmarkStart w:id="0" w:name="_Hlk146558879"/>
      <w:r w:rsidR="000C52D8">
        <w:t>For budget categories</w:t>
      </w:r>
      <w:r w:rsidR="00AE3ECF">
        <w:t xml:space="preserve"> applying unit contributions</w:t>
      </w:r>
      <w:bookmarkEnd w:id="0"/>
      <w:r w:rsidR="000C52D8">
        <w:t>, a</w:t>
      </w:r>
      <w:r w:rsidR="00981594">
        <w:t xml:space="preserve">pplicants </w:t>
      </w:r>
      <w:r>
        <w:t>can</w:t>
      </w:r>
      <w:r w:rsidR="00981594">
        <w:t>not be awarded a grant higher than the</w:t>
      </w:r>
      <w:r w:rsidR="008F52F6">
        <w:t xml:space="preserve"> resulting</w:t>
      </w:r>
      <w:r w:rsidR="00981594">
        <w:t xml:space="preserve"> estimated budget.</w:t>
      </w:r>
    </w:p>
    <w:p w14:paraId="00519667" w14:textId="725FC577" w:rsidR="00662C66" w:rsidRDefault="008F52F6" w:rsidP="00F76A11">
      <w:pPr>
        <w:spacing w:before="0"/>
      </w:pPr>
      <w:r>
        <w:t>C</w:t>
      </w:r>
      <w:r w:rsidR="004815C7">
        <w:t>ost categories</w:t>
      </w:r>
      <w:r w:rsidR="00575B41">
        <w:t xml:space="preserve"> </w:t>
      </w:r>
      <w:r w:rsidR="004815C7">
        <w:t>‘I</w:t>
      </w:r>
      <w:r w:rsidR="006D7D4E">
        <w:t>nclusion support for participants</w:t>
      </w:r>
      <w:r w:rsidR="004815C7">
        <w:t>’</w:t>
      </w:r>
      <w:r w:rsidR="006D7D4E">
        <w:t xml:space="preserve"> and </w:t>
      </w:r>
      <w:r w:rsidR="004815C7">
        <w:t>‘E</w:t>
      </w:r>
      <w:r w:rsidR="006D7D4E">
        <w:t>xceptional costs</w:t>
      </w:r>
      <w:r w:rsidR="004815C7">
        <w:t>’</w:t>
      </w:r>
      <w:r>
        <w:t xml:space="preserve"> cannot be estimated in the same way</w:t>
      </w:r>
      <w:r w:rsidR="006D7D4E">
        <w:t>.</w:t>
      </w:r>
      <w:r w:rsidR="00662C66">
        <w:t xml:space="preserve"> </w:t>
      </w:r>
      <w:r w:rsidR="004815C7">
        <w:t>The National Agency will assess r</w:t>
      </w:r>
      <w:r w:rsidR="006D7D4E">
        <w:t xml:space="preserve">equests for </w:t>
      </w:r>
      <w:r w:rsidR="00575B41">
        <w:t xml:space="preserve">these </w:t>
      </w:r>
      <w:r w:rsidR="006D7D4E">
        <w:t>type</w:t>
      </w:r>
      <w:r w:rsidR="00575B41">
        <w:t>s</w:t>
      </w:r>
      <w:r w:rsidR="006D7D4E">
        <w:t xml:space="preserve"> of costs based on </w:t>
      </w:r>
      <w:r w:rsidR="004815C7">
        <w:t>description and</w:t>
      </w:r>
      <w:r w:rsidR="001449F8">
        <w:t xml:space="preserve"> </w:t>
      </w:r>
      <w:r w:rsidR="004815C7">
        <w:t>justification</w:t>
      </w:r>
      <w:r w:rsidR="00E4163D">
        <w:t xml:space="preserve"> included in the</w:t>
      </w:r>
      <w:r w:rsidR="00047E83">
        <w:t xml:space="preserve"> application</w:t>
      </w:r>
      <w:r w:rsidR="006D7D4E">
        <w:t>.</w:t>
      </w:r>
      <w:r w:rsidR="001449F8">
        <w:t xml:space="preserve"> </w:t>
      </w:r>
      <w:r w:rsidR="00E4163D">
        <w:t>D</w:t>
      </w:r>
      <w:r w:rsidR="00047E83" w:rsidRPr="00277825">
        <w:t>uring project implementation</w:t>
      </w:r>
      <w:r w:rsidR="00E4163D">
        <w:t>,</w:t>
      </w:r>
      <w:r w:rsidR="00047E83" w:rsidRPr="00277825">
        <w:t xml:space="preserve"> </w:t>
      </w:r>
      <w:r w:rsidR="00E4163D">
        <w:t xml:space="preserve">beneficiaries </w:t>
      </w:r>
      <w:r w:rsidR="00E4163D" w:rsidRPr="00277825">
        <w:t xml:space="preserve">can make further requests for these types of costs </w:t>
      </w:r>
      <w:r w:rsidR="00047E83" w:rsidRPr="00277825">
        <w:t>by</w:t>
      </w:r>
      <w:r w:rsidR="00047E83">
        <w:t xml:space="preserve"> submitting a written request to the National Agency.</w:t>
      </w:r>
      <w:r w:rsidR="00F038AE">
        <w:t xml:space="preserve"> </w:t>
      </w:r>
      <w:bookmarkStart w:id="1" w:name="_Hlk146555520"/>
      <w:r w:rsidR="005D7423">
        <w:t>T</w:t>
      </w:r>
      <w:r w:rsidR="00E8600B">
        <w:t xml:space="preserve">he National Agency </w:t>
      </w:r>
      <w:r w:rsidR="005D7423">
        <w:t xml:space="preserve">will process such requests </w:t>
      </w:r>
      <w:r w:rsidR="00E8600B">
        <w:t>in order of reception, as long as funds remain available</w:t>
      </w:r>
      <w:bookmarkEnd w:id="1"/>
      <w:r w:rsidR="00E8600B">
        <w:t>.</w:t>
      </w:r>
    </w:p>
    <w:p w14:paraId="1A9BD87D" w14:textId="26599A26" w:rsidR="005C474D" w:rsidRDefault="00602A8D" w:rsidP="005B2CE0">
      <w:pPr>
        <w:pStyle w:val="Heading2"/>
        <w:numPr>
          <w:ilvl w:val="1"/>
          <w:numId w:val="25"/>
        </w:numPr>
      </w:pPr>
      <w:r w:rsidRPr="00816764">
        <w:lastRenderedPageBreak/>
        <w:t>Maximum grant</w:t>
      </w:r>
      <w:r w:rsidR="00EE5AA4">
        <w:rPr>
          <w:rStyle w:val="FootnoteReference"/>
        </w:rPr>
        <w:footnoteReference w:id="4"/>
      </w:r>
    </w:p>
    <w:p w14:paraId="3A6C0BAF" w14:textId="4B1A588A" w:rsidR="005C474D" w:rsidRPr="005C474D" w:rsidRDefault="005C474D" w:rsidP="005C474D">
      <w:r w:rsidRPr="00806E24">
        <w:rPr>
          <w:b/>
          <w:bCs w:val="0"/>
        </w:rPr>
        <w:t>The single maximum grant for each all applicants (regardless of size, past absorption etc) is determined at 250.000 EUR per project.</w:t>
      </w:r>
      <w:r>
        <w:t xml:space="preserve"> The maximum grant rules will apply only if the total demand for budget surpasses the total available funds defined in section 1 of the present document.</w:t>
      </w:r>
    </w:p>
    <w:p w14:paraId="0DECDBAE" w14:textId="63F21494" w:rsidR="00EE4825" w:rsidRDefault="00EA0A64" w:rsidP="00F76A11">
      <w:pPr>
        <w:spacing w:before="0"/>
      </w:pPr>
      <w:r>
        <w:t>C</w:t>
      </w:r>
      <w:r w:rsidR="00F21CB7">
        <w:t>ost categories ‘I</w:t>
      </w:r>
      <w:r w:rsidR="00EE4825">
        <w:t>nclusion support for participants</w:t>
      </w:r>
      <w:r w:rsidR="00F21CB7">
        <w:t>’</w:t>
      </w:r>
      <w:r w:rsidR="00EE4825">
        <w:t xml:space="preserve"> and </w:t>
      </w:r>
      <w:r w:rsidR="00F21CB7">
        <w:t>‘E</w:t>
      </w:r>
      <w:r w:rsidR="00EE4825">
        <w:t xml:space="preserve">xceptional </w:t>
      </w:r>
      <w:r w:rsidR="00614639">
        <w:t>costs</w:t>
      </w:r>
      <w:r w:rsidR="00EE4825">
        <w:t xml:space="preserve"> will not count towards the maximum grant.</w:t>
      </w:r>
    </w:p>
    <w:p w14:paraId="20E0BA18" w14:textId="002DB4E9" w:rsidR="00602A8D" w:rsidRPr="00816764" w:rsidRDefault="00EE4825" w:rsidP="005B2CE0">
      <w:pPr>
        <w:pStyle w:val="Heading2"/>
        <w:numPr>
          <w:ilvl w:val="1"/>
          <w:numId w:val="25"/>
        </w:numPr>
      </w:pPr>
      <w:r>
        <w:t>Competitive allocation</w:t>
      </w:r>
    </w:p>
    <w:p w14:paraId="1A119489" w14:textId="0A5C9B0C" w:rsidR="00602A8D" w:rsidRDefault="00602A8D" w:rsidP="00F76A11">
      <w:pPr>
        <w:spacing w:before="0"/>
      </w:pPr>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w:t>
      </w:r>
      <w:r w:rsidR="00986C5C">
        <w:t>or</w:t>
      </w:r>
      <w:r w:rsidR="002A0763">
        <w:t xml:space="preserve"> the</w:t>
      </w:r>
      <w:r w:rsidR="00986C5C">
        <w:t>ir</w:t>
      </w:r>
      <w:r w:rsidR="002A0763">
        <w:t xml:space="preserve"> maximum grant</w:t>
      </w:r>
      <w:r w:rsidR="00986C5C">
        <w:t>, if applicable</w:t>
      </w:r>
      <w:r w:rsidR="002A0763">
        <w:t>)</w:t>
      </w:r>
      <w:r>
        <w:t xml:space="preserve">, </w:t>
      </w:r>
      <w:r w:rsidR="002A0763">
        <w:t xml:space="preserve">then </w:t>
      </w:r>
      <w:r>
        <w:t xml:space="preserve">a competitive allocation will </w:t>
      </w:r>
      <w:r w:rsidR="002A0763">
        <w:t>take place</w:t>
      </w:r>
      <w:r>
        <w:t xml:space="preserve"> as described </w:t>
      </w:r>
      <w:r w:rsidR="002A0763">
        <w:t>in section 3</w:t>
      </w:r>
      <w:r>
        <w:t>.</w:t>
      </w:r>
      <w:r w:rsidR="00EE4825">
        <w:t xml:space="preserve"> However, if the total available </w:t>
      </w:r>
      <w:r w:rsidR="00037448">
        <w:t xml:space="preserve">budget </w:t>
      </w:r>
      <w:r w:rsidR="00EE4825">
        <w:t xml:space="preserve">is sufficient to </w:t>
      </w:r>
      <w:r w:rsidR="00805AB6">
        <w:t>fully address</w:t>
      </w:r>
      <w:r w:rsidR="00986C5C">
        <w:t xml:space="preserve"> the</w:t>
      </w:r>
      <w:r w:rsidR="00EE4825">
        <w:t xml:space="preserve"> requests of all applicants</w:t>
      </w:r>
      <w:r w:rsidR="002A0763">
        <w:t xml:space="preserve">, </w:t>
      </w:r>
      <w:r w:rsidR="00805AB6">
        <w:t xml:space="preserve">then </w:t>
      </w:r>
      <w:r w:rsidR="007833A8">
        <w:t>budget allocation rules</w:t>
      </w:r>
      <w:r w:rsidR="00986C5C">
        <w:t xml:space="preserve"> defined</w:t>
      </w:r>
      <w:r w:rsidR="007833A8">
        <w:t xml:space="preserve"> in section 3 will not apply.</w:t>
      </w:r>
      <w:r w:rsidR="002A5892">
        <w:t xml:space="preserve"> </w:t>
      </w:r>
    </w:p>
    <w:p w14:paraId="06E55137" w14:textId="3AC2E66D" w:rsidR="00D35FF5" w:rsidRPr="00A55849" w:rsidRDefault="00217561" w:rsidP="005B2CE0">
      <w:pPr>
        <w:pStyle w:val="Heading1"/>
        <w:numPr>
          <w:ilvl w:val="0"/>
          <w:numId w:val="25"/>
        </w:numPr>
        <w:ind w:left="426"/>
      </w:pPr>
      <w:r>
        <w:t>Budget allocation</w:t>
      </w:r>
    </w:p>
    <w:p w14:paraId="72FBE859" w14:textId="77777777" w:rsidR="005B2CE0" w:rsidRDefault="0070705A" w:rsidP="00F76A11">
      <w:pPr>
        <w:spacing w:before="0"/>
      </w:pPr>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criteria</w:t>
      </w:r>
      <w:r w:rsidR="0037250A">
        <w:t xml:space="preserve"> described </w:t>
      </w:r>
      <w:r w:rsidR="00986C5C">
        <w:t>below</w:t>
      </w:r>
      <w:r w:rsidR="008252B7">
        <w:t>.</w:t>
      </w:r>
    </w:p>
    <w:p w14:paraId="3EB5169F" w14:textId="2B3289AB" w:rsidR="00602A8D" w:rsidRDefault="00217561" w:rsidP="00F76A11">
      <w:pPr>
        <w:spacing w:before="0"/>
      </w:pPr>
      <w:r>
        <w:rPr>
          <w:lang w:eastAsia="zh-CN"/>
        </w:rPr>
        <w:t>For each applicant, t</w:t>
      </w:r>
      <w:r w:rsidRPr="00A8258D">
        <w:rPr>
          <w:lang w:eastAsia="zh-CN"/>
        </w:rPr>
        <w:t xml:space="preserve">he total awarded grant will be the sum of amounts </w:t>
      </w:r>
      <w:r>
        <w:rPr>
          <w:lang w:eastAsia="zh-CN"/>
        </w:rPr>
        <w:t>they have received in</w:t>
      </w:r>
      <w:r w:rsidRPr="00A8258D">
        <w:rPr>
          <w:lang w:eastAsia="zh-CN"/>
        </w:rPr>
        <w:t xml:space="preserve"> each</w:t>
      </w:r>
      <w:r>
        <w:rPr>
          <w:lang w:eastAsia="zh-CN"/>
        </w:rPr>
        <w:t xml:space="preserve"> allocation</w:t>
      </w:r>
      <w:r w:rsidRPr="00A8258D">
        <w:rPr>
          <w:lang w:eastAsia="zh-CN"/>
        </w:rPr>
        <w:t xml:space="preserve"> phase</w:t>
      </w:r>
      <w:r w:rsidR="00986C5C">
        <w:rPr>
          <w:lang w:eastAsia="zh-CN"/>
        </w:rPr>
        <w:t xml:space="preserve"> (and any approved amount for cost categories ‘I</w:t>
      </w:r>
      <w:r w:rsidRPr="00A8258D">
        <w:rPr>
          <w:lang w:eastAsia="zh-CN"/>
        </w:rPr>
        <w:t>nclusion support for par</w:t>
      </w:r>
      <w:r>
        <w:rPr>
          <w:lang w:eastAsia="zh-CN"/>
        </w:rPr>
        <w:t>ticipants</w:t>
      </w:r>
      <w:r w:rsidR="00986C5C">
        <w:rPr>
          <w:lang w:eastAsia="zh-CN"/>
        </w:rPr>
        <w:t>’</w:t>
      </w:r>
      <w:r>
        <w:rPr>
          <w:lang w:eastAsia="zh-CN"/>
        </w:rPr>
        <w:t xml:space="preserve"> and </w:t>
      </w:r>
      <w:r w:rsidR="00986C5C">
        <w:rPr>
          <w:lang w:eastAsia="zh-CN"/>
        </w:rPr>
        <w:t>‘E</w:t>
      </w:r>
      <w:r>
        <w:rPr>
          <w:lang w:eastAsia="zh-CN"/>
        </w:rPr>
        <w:t>xceptional costs</w:t>
      </w:r>
      <w:r w:rsidR="00986C5C">
        <w:rPr>
          <w:lang w:eastAsia="zh-CN"/>
        </w:rPr>
        <w:t>’)</w:t>
      </w:r>
      <w:r>
        <w:rPr>
          <w:lang w:eastAsia="zh-CN"/>
        </w:rPr>
        <w:t>.</w:t>
      </w:r>
    </w:p>
    <w:p w14:paraId="47961541" w14:textId="3FA8F879" w:rsidR="00A60B8C" w:rsidRDefault="00A60B8C" w:rsidP="00F76A11">
      <w:pPr>
        <w:spacing w:before="0"/>
      </w:pPr>
      <w:r>
        <w:t xml:space="preserve">If any applicant cannot receive further funds based on the rules in this document, then </w:t>
      </w:r>
      <w:r w:rsidR="00986C5C">
        <w:t>any</w:t>
      </w:r>
      <w:r>
        <w:t xml:space="preserve"> surplus funds </w:t>
      </w:r>
      <w:r w:rsidR="00986C5C">
        <w:t xml:space="preserve">allocated to them </w:t>
      </w:r>
      <w:r>
        <w:t xml:space="preserve">will be divided among other applicants using the allocation rules specified for each phase. </w:t>
      </w:r>
      <w:r w:rsidRPr="005C7ABA">
        <w:t>All allocated amounts will be ro</w:t>
      </w:r>
      <w:r>
        <w:t>unded to the nearest whole Euro.</w:t>
      </w:r>
    </w:p>
    <w:p w14:paraId="5EA4C820" w14:textId="3BE7B9E9" w:rsidR="00E8600B" w:rsidRDefault="00E8600B" w:rsidP="00F76A11">
      <w:pPr>
        <w:spacing w:before="0"/>
      </w:pPr>
      <w:r w:rsidRPr="005B2CE0">
        <w:t>In this section, references to</w:t>
      </w:r>
      <w:r w:rsidR="00304F24" w:rsidRPr="005B2CE0">
        <w:t xml:space="preserve"> </w:t>
      </w:r>
      <w:r w:rsidRPr="005B2CE0">
        <w:t xml:space="preserve">completed projects concern </w:t>
      </w:r>
      <w:r w:rsidR="00402B88" w:rsidRPr="005B2CE0">
        <w:t>projects</w:t>
      </w:r>
      <w:r w:rsidRPr="005B2CE0">
        <w:t xml:space="preserve"> </w:t>
      </w:r>
      <w:r w:rsidR="00402B88" w:rsidRPr="005B2CE0">
        <w:t xml:space="preserve">with an </w:t>
      </w:r>
      <w:r w:rsidR="0037250A" w:rsidRPr="005B2CE0">
        <w:t xml:space="preserve">end date before 1 </w:t>
      </w:r>
      <w:r w:rsidR="005B2CE0">
        <w:t>December</w:t>
      </w:r>
      <w:r w:rsidR="003E69F3" w:rsidRPr="005B2CE0">
        <w:t xml:space="preserve"> </w:t>
      </w:r>
      <w:r w:rsidR="0037250A" w:rsidRPr="005B2CE0">
        <w:t>202</w:t>
      </w:r>
      <w:r w:rsidR="003E69F3" w:rsidRPr="005B2CE0">
        <w:t>3</w:t>
      </w:r>
      <w:r w:rsidR="003E69F3" w:rsidRPr="005B2CE0">
        <w:rPr>
          <w:rStyle w:val="FootnoteReference"/>
        </w:rPr>
        <w:footnoteReference w:id="5"/>
      </w:r>
      <w:r w:rsidRPr="005B2CE0">
        <w:t>.</w:t>
      </w:r>
      <w:r w:rsidR="00402B88">
        <w:t xml:space="preserve"> </w:t>
      </w:r>
    </w:p>
    <w:p w14:paraId="6C91182A" w14:textId="04A9A4F7" w:rsidR="00A228E7" w:rsidRPr="00A228E7" w:rsidRDefault="002F38BB" w:rsidP="00A228E7">
      <w:pPr>
        <w:pStyle w:val="Heading2"/>
        <w:numPr>
          <w:ilvl w:val="1"/>
          <w:numId w:val="25"/>
        </w:numPr>
        <w:rPr>
          <w:rStyle w:val="cf01"/>
          <w:rFonts w:asciiTheme="minorHAnsi" w:hAnsiTheme="minorHAnsi" w:cstheme="minorHAnsi"/>
          <w:sz w:val="20"/>
          <w:szCs w:val="20"/>
        </w:rPr>
      </w:pPr>
      <w:r>
        <w:t>First phase: b</w:t>
      </w:r>
      <w:r w:rsidR="002B26D6" w:rsidRPr="00816764">
        <w:t>asic grant</w:t>
      </w:r>
      <w:r w:rsidR="009613E6">
        <w:t>s</w:t>
      </w:r>
      <w:r w:rsidR="00A705B2">
        <w:t xml:space="preserve"> and </w:t>
      </w:r>
      <w:r w:rsidR="002C2F47">
        <w:t>financial</w:t>
      </w:r>
      <w:r w:rsidR="00A705B2">
        <w:t xml:space="preserve"> performance</w:t>
      </w:r>
    </w:p>
    <w:p w14:paraId="55202CEA" w14:textId="77777777" w:rsidR="00EC6894" w:rsidRPr="00EC6894" w:rsidRDefault="00EC6894" w:rsidP="00EC6894">
      <w:pPr>
        <w:spacing w:before="0"/>
      </w:pPr>
      <w:r w:rsidRPr="00EC6894">
        <w:t xml:space="preserve">All applicants </w:t>
      </w:r>
      <w:r w:rsidR="00DB47F6" w:rsidRPr="00EC6894">
        <w:t xml:space="preserve">will receive </w:t>
      </w:r>
      <w:r w:rsidR="006740F4" w:rsidRPr="00EC6894">
        <w:t xml:space="preserve">at least </w:t>
      </w:r>
      <w:r w:rsidR="00DB47F6" w:rsidRPr="00EC6894">
        <w:t>the following basic grant:</w:t>
      </w:r>
      <w:r w:rsidR="00BB5B10" w:rsidRPr="00EC6894">
        <w:t xml:space="preserve"> 20.000 </w:t>
      </w:r>
      <w:r w:rsidR="00806E24" w:rsidRPr="00EC6894">
        <w:t>EUR.</w:t>
      </w:r>
      <w:bookmarkStart w:id="2" w:name="_Hlk155267335"/>
      <w:r w:rsidR="000D7651" w:rsidRPr="00EC6894">
        <w:t xml:space="preserve"> </w:t>
      </w:r>
      <w:r w:rsidR="00E4163D" w:rsidRPr="00EC6894">
        <w:t xml:space="preserve">If sufficient funds are available, the </w:t>
      </w:r>
      <w:r w:rsidR="008F560F" w:rsidRPr="00EC6894">
        <w:t>NA</w:t>
      </w:r>
      <w:r w:rsidR="00E4163D" w:rsidRPr="00EC6894">
        <w:t xml:space="preserve"> </w:t>
      </w:r>
      <w:r w:rsidR="008F560F" w:rsidRPr="00EC6894">
        <w:t>can</w:t>
      </w:r>
      <w:r w:rsidR="00E4163D" w:rsidRPr="00EC6894">
        <w:t xml:space="preserve"> increase the basic grant after the submission </w:t>
      </w:r>
      <w:r w:rsidR="00806E24" w:rsidRPr="00EC6894">
        <w:t>deadline.</w:t>
      </w:r>
      <w:bookmarkEnd w:id="2"/>
    </w:p>
    <w:p w14:paraId="2E411818" w14:textId="6E649EB1" w:rsidR="00302A6D" w:rsidRDefault="00806E24" w:rsidP="00F76A11">
      <w:pPr>
        <w:spacing w:before="0"/>
      </w:pPr>
      <w:r w:rsidRPr="00EC6894">
        <w:t>For</w:t>
      </w:r>
      <w:r w:rsidR="00BB5B10" w:rsidRPr="00EC6894">
        <w:t xml:space="preserve"> </w:t>
      </w:r>
      <w:r w:rsidR="00E42636" w:rsidRPr="00EC6894">
        <w:t xml:space="preserve">applicants that have completed at least one accredited project, </w:t>
      </w:r>
      <w:r w:rsidRPr="00EC6894">
        <w:t xml:space="preserve">the amount of the </w:t>
      </w:r>
      <w:r w:rsidR="00666971" w:rsidRPr="00EC6894">
        <w:t>basic</w:t>
      </w:r>
      <w:r w:rsidR="000E4F04" w:rsidRPr="00EC6894">
        <w:t xml:space="preserve"> grant</w:t>
      </w:r>
      <w:r w:rsidRPr="00EC6894">
        <w:t xml:space="preserve"> will be linked to their past financial performance, to ensure stable and reliable funding for good performers. Those applicants will receive a basic grant</w:t>
      </w:r>
      <w:r w:rsidR="00666971" w:rsidRPr="00EC6894">
        <w:t xml:space="preserve"> equal </w:t>
      </w:r>
      <w:r w:rsidR="00614639" w:rsidRPr="00EC6894">
        <w:t xml:space="preserve">to </w:t>
      </w:r>
      <w:r w:rsidR="00666971" w:rsidRPr="00EC6894">
        <w:t xml:space="preserve">the highest </w:t>
      </w:r>
      <w:r w:rsidR="00304F24" w:rsidRPr="00EC6894">
        <w:t xml:space="preserve">grant they have absorbed in </w:t>
      </w:r>
      <w:r w:rsidR="00FF0D78" w:rsidRPr="00EC6894">
        <w:t xml:space="preserve">the last three </w:t>
      </w:r>
      <w:r w:rsidR="00304F24" w:rsidRPr="00EC6894">
        <w:t>completed projects</w:t>
      </w:r>
      <w:r w:rsidR="00FF0D78" w:rsidRPr="00EC6894">
        <w:t xml:space="preserve"> under the </w:t>
      </w:r>
      <w:r w:rsidR="00E27E4F" w:rsidRPr="00EC6894">
        <w:t>accreditation</w:t>
      </w:r>
      <w:r w:rsidR="00BC2F03" w:rsidRPr="00EC6894">
        <w:t xml:space="preserve"> (</w:t>
      </w:r>
      <w:r w:rsidR="00822AE3" w:rsidRPr="00EC6894">
        <w:t>and not lower than the basic grant</w:t>
      </w:r>
      <w:r w:rsidR="00BC2F03" w:rsidRPr="00EC6894">
        <w:t>)</w:t>
      </w:r>
      <w:r w:rsidR="00822AE3" w:rsidRPr="00EC6894">
        <w:t xml:space="preserve"> </w:t>
      </w:r>
      <w:r w:rsidR="00A60220" w:rsidRPr="007518B9">
        <w:rPr>
          <w:rStyle w:val="FootnoteReference"/>
          <w:rFonts w:eastAsia="Times New Roman" w:cs="Times New Roman"/>
          <w:sz w:val="16"/>
          <w:lang w:eastAsia="zh-CN"/>
        </w:rPr>
        <w:footnoteReference w:id="6"/>
      </w:r>
      <w:r w:rsidR="00666971" w:rsidRPr="007518B9">
        <w:rPr>
          <w:rStyle w:val="FootnoteReference"/>
          <w:rFonts w:eastAsia="Times New Roman" w:cs="Times New Roman"/>
          <w:sz w:val="16"/>
          <w:lang w:eastAsia="zh-CN"/>
        </w:rPr>
        <w:t>.</w:t>
      </w:r>
      <w:r w:rsidR="007518B9">
        <w:t>A</w:t>
      </w:r>
      <w:r w:rsidR="007518B9" w:rsidRPr="00806E24">
        <w:t>pplicants penalised due to low budget absorption may receive a</w:t>
      </w:r>
      <w:r w:rsidR="007518B9">
        <w:t xml:space="preserve"> reduced rate of their </w:t>
      </w:r>
      <w:r w:rsidR="007518B9" w:rsidRPr="00806E24">
        <w:t xml:space="preserve">basic grant </w:t>
      </w:r>
      <w:r w:rsidR="007518B9">
        <w:t xml:space="preserve">as </w:t>
      </w:r>
      <w:r w:rsidR="007518B9">
        <w:rPr>
          <w:lang w:val="en-US"/>
        </w:rPr>
        <w:t>below</w:t>
      </w:r>
      <w:r w:rsidR="007518B9">
        <w:t>:</w:t>
      </w:r>
    </w:p>
    <w:p w14:paraId="0F1EB4BE" w14:textId="77777777" w:rsidR="0015529A" w:rsidRPr="0015529A" w:rsidRDefault="0015529A" w:rsidP="0015529A">
      <w:pPr>
        <w:rPr>
          <w:bCs w:val="0"/>
          <w:color w:val="002060"/>
        </w:rPr>
      </w:pPr>
      <w:r w:rsidRPr="0015529A">
        <w:rPr>
          <w:color w:val="002060"/>
        </w:rPr>
        <w:t>1) Applicants that have used less than 90% of the awarded funds in their last completed accredited project will have their basic grant reduced by 5%</w:t>
      </w:r>
    </w:p>
    <w:p w14:paraId="28089286" w14:textId="77777777" w:rsidR="0015529A" w:rsidRPr="0015529A" w:rsidRDefault="0015529A" w:rsidP="0015529A">
      <w:pPr>
        <w:rPr>
          <w:color w:val="002060"/>
        </w:rPr>
      </w:pPr>
      <w:r>
        <w:rPr>
          <w:color w:val="1F4E79"/>
        </w:rPr>
        <w:lastRenderedPageBreak/>
        <w:t>2</w:t>
      </w:r>
      <w:r w:rsidRPr="0015529A">
        <w:rPr>
          <w:color w:val="002060"/>
        </w:rPr>
        <w:t>) Applicants that have used less than 80% of the awarded funds in their last completed accredited project will have their basic grant reduced by 10%</w:t>
      </w:r>
    </w:p>
    <w:p w14:paraId="74D9F1E5" w14:textId="264EA4F9" w:rsidR="0015529A" w:rsidRPr="0015529A" w:rsidRDefault="0015529A" w:rsidP="0015529A">
      <w:pPr>
        <w:rPr>
          <w:color w:val="002060"/>
        </w:rPr>
      </w:pPr>
      <w:r w:rsidRPr="0015529A">
        <w:rPr>
          <w:color w:val="002060"/>
        </w:rPr>
        <w:t>3) Applicants that have used less than 50% of the awarded funds in their last completed accredited project will have their basic grant reduced by 30%</w:t>
      </w:r>
    </w:p>
    <w:p w14:paraId="17412FF3" w14:textId="61B107AF" w:rsidR="00E208C0" w:rsidRPr="0029117B" w:rsidRDefault="004F42F9" w:rsidP="00FE5402">
      <w:pPr>
        <w:pStyle w:val="Heading2"/>
        <w:numPr>
          <w:ilvl w:val="1"/>
          <w:numId w:val="25"/>
        </w:numPr>
        <w:ind w:left="0" w:firstLine="360"/>
      </w:pPr>
      <w:r>
        <w:t>Second phase: q</w:t>
      </w:r>
      <w:r w:rsidR="002B26D6">
        <w:t xml:space="preserve">ualitative performance and </w:t>
      </w:r>
      <w:r w:rsidR="00201599">
        <w:t>policy priorities</w:t>
      </w:r>
    </w:p>
    <w:p w14:paraId="53C23A05" w14:textId="29352566" w:rsidR="0069242D" w:rsidRDefault="00550B89" w:rsidP="00F76A11">
      <w:pPr>
        <w:spacing w:before="0"/>
      </w:pPr>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20B262D0" w:rsidR="004B0AE9" w:rsidRPr="004D7293" w:rsidRDefault="008F43AC" w:rsidP="00F76A11">
      <w:pPr>
        <w:spacing w:before="0"/>
      </w:pPr>
      <w:r>
        <w:t>The score of each applicant is</w:t>
      </w:r>
      <w:r w:rsidR="008E68FD">
        <w:t xml:space="preserve"> calculated</w:t>
      </w:r>
      <w:r w:rsidR="00CB708A">
        <w:t xml:space="preserve"> in two steps</w:t>
      </w:r>
      <w:r w:rsidR="008E68FD">
        <w:t>:</w:t>
      </w:r>
    </w:p>
    <w:p w14:paraId="57534D10" w14:textId="3D2A9B80" w:rsidR="00BA04D5" w:rsidRDefault="00751D24" w:rsidP="00F76A11">
      <w:pPr>
        <w:pStyle w:val="ListParagraph"/>
        <w:numPr>
          <w:ilvl w:val="0"/>
          <w:numId w:val="21"/>
        </w:numPr>
        <w:spacing w:before="0"/>
        <w:ind w:left="714" w:hanging="357"/>
        <w:contextualSpacing w:val="0"/>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final report evaluation score of the</w:t>
      </w:r>
      <w:r w:rsidR="000A1830">
        <w:t>ir</w:t>
      </w:r>
      <w:r w:rsidRPr="00212ADC">
        <w:t xml:space="preserve"> </w:t>
      </w:r>
      <w:r>
        <w:t xml:space="preserve">last completed accredited </w:t>
      </w:r>
      <w:r w:rsidRPr="00EA133E">
        <w:t>project.</w:t>
      </w:r>
    </w:p>
    <w:p w14:paraId="63B26132" w14:textId="3DAE17C3" w:rsidR="00A076C8" w:rsidRDefault="004D7293" w:rsidP="00806E24">
      <w:pPr>
        <w:pStyle w:val="ListParagraph"/>
        <w:spacing w:before="0"/>
        <w:ind w:left="714"/>
        <w:contextualSpacing w:val="0"/>
      </w:pPr>
      <w:r w:rsidRPr="00EA133E">
        <w:t>For</w:t>
      </w:r>
      <w:r w:rsidR="00331B7F">
        <w:t xml:space="preserve"> </w:t>
      </w:r>
      <w:r>
        <w:t>applicants</w:t>
      </w:r>
      <w:r w:rsidR="00751D24">
        <w:t xml:space="preserve"> that have not </w:t>
      </w:r>
      <w:r w:rsidR="00331B7F">
        <w:t xml:space="preserve">yet </w:t>
      </w:r>
      <w:r w:rsidR="00751D24">
        <w:t>completed any accredited projects</w:t>
      </w:r>
      <w:r>
        <w:t>, the base score</w:t>
      </w:r>
      <w:r w:rsidRPr="004D7293">
        <w:rPr>
          <w:b/>
        </w:rPr>
        <w:t xml:space="preserve"> </w:t>
      </w:r>
      <w:r>
        <w:t xml:space="preserve">will be equal to the evaluation score of </w:t>
      </w:r>
      <w:r w:rsidR="00F0072B">
        <w:t>their</w:t>
      </w:r>
      <w:r w:rsidRPr="0092389D">
        <w:t xml:space="preserve"> accreditation application</w:t>
      </w:r>
      <w:r w:rsidR="00AD435D">
        <w:t xml:space="preserve"> or VET Mobility Charter</w:t>
      </w:r>
      <w:r w:rsidR="00DA6B48">
        <w:t xml:space="preserve"> application</w:t>
      </w:r>
      <w:r w:rsidR="00467979">
        <w:t>.</w:t>
      </w:r>
    </w:p>
    <w:p w14:paraId="665B46D6" w14:textId="6EABC214" w:rsidR="00D1031A" w:rsidRDefault="00A076C8" w:rsidP="00A076C8">
      <w:pPr>
        <w:spacing w:before="0"/>
      </w:pPr>
      <w:r>
        <w:t xml:space="preserve">       b)       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09801CFE" w14:textId="77777777" w:rsidR="00467979" w:rsidRDefault="00D257C0" w:rsidP="00467979">
      <w:pPr>
        <w:pStyle w:val="ListParagraph"/>
        <w:numPr>
          <w:ilvl w:val="0"/>
          <w:numId w:val="19"/>
        </w:numPr>
        <w:spacing w:before="0"/>
      </w:pPr>
      <w:r>
        <w:t>I</w:t>
      </w:r>
      <w:r w:rsidR="00297159">
        <w:t xml:space="preserve">nvolvement of </w:t>
      </w:r>
      <w:r w:rsidR="00297159" w:rsidRPr="00E44455">
        <w:t>partic</w:t>
      </w:r>
      <w:r>
        <w:t>ipants with fewer opportunities:</w:t>
      </w:r>
      <w:r w:rsidR="00467979">
        <w:t xml:space="preserve"> 3 points per participant</w:t>
      </w:r>
    </w:p>
    <w:p w14:paraId="3F5BF622" w14:textId="481D9BFD" w:rsidR="00297159" w:rsidRDefault="00D257C0" w:rsidP="00467979">
      <w:pPr>
        <w:pStyle w:val="ListParagraph"/>
        <w:numPr>
          <w:ilvl w:val="0"/>
          <w:numId w:val="19"/>
        </w:numPr>
        <w:spacing w:before="0"/>
      </w:pPr>
      <w:r>
        <w:t>Implementing l</w:t>
      </w:r>
      <w:r w:rsidR="00297159" w:rsidRPr="00E44455">
        <w:t xml:space="preserve">ong-term </w:t>
      </w:r>
      <w:r w:rsidR="00297159">
        <w:t>learning mobility of learners (</w:t>
      </w:r>
      <w:r w:rsidR="00297159" w:rsidRPr="00E44455">
        <w:t>ErasmusPro</w:t>
      </w:r>
      <w:r w:rsidR="00297159">
        <w:t>)</w:t>
      </w:r>
      <w:r>
        <w:t xml:space="preserve">: </w:t>
      </w:r>
      <w:r w:rsidR="00467979">
        <w:t>5 points per participant</w:t>
      </w:r>
    </w:p>
    <w:p w14:paraId="5AF65706" w14:textId="230D5051" w:rsidR="00CD5A95" w:rsidRDefault="00816764" w:rsidP="005B2CE0">
      <w:pPr>
        <w:pStyle w:val="Heading1"/>
        <w:numPr>
          <w:ilvl w:val="0"/>
          <w:numId w:val="25"/>
        </w:numPr>
      </w:pPr>
      <w:r>
        <w:t>targets for delivery</w:t>
      </w:r>
    </w:p>
    <w:p w14:paraId="2268D0FC" w14:textId="315ADE1F" w:rsidR="001C2FF2" w:rsidRPr="00A66D90" w:rsidRDefault="004547E0" w:rsidP="00F76A11">
      <w:pPr>
        <w:spacing w:before="0"/>
      </w:pPr>
      <w:r>
        <w:t xml:space="preserve">If the applicant has been awarded the full </w:t>
      </w:r>
      <w:r w:rsidR="00217561">
        <w:t xml:space="preserve">estimated </w:t>
      </w:r>
      <w:r w:rsidRPr="004547E0">
        <w:t>budget required to implement their requested activities</w:t>
      </w:r>
      <w:r>
        <w:t xml:space="preserve">, then the activities </w:t>
      </w:r>
      <w:r w:rsidR="00F72839">
        <w:t>requested</w:t>
      </w:r>
      <w:r>
        <w:t xml:space="preserve"> in the application will become </w:t>
      </w:r>
      <w:r w:rsidR="00217561">
        <w:t xml:space="preserve">the applicant’s </w:t>
      </w:r>
      <w:r>
        <w:t>targets for delivery</w:t>
      </w:r>
      <w:r w:rsidR="00217561">
        <w:t xml:space="preserve"> and will be included in their grant agreement</w:t>
      </w:r>
      <w:r>
        <w:t>.</w:t>
      </w:r>
      <w:r w:rsidR="00242B98">
        <w:t xml:space="preserve"> </w:t>
      </w:r>
      <w:r>
        <w:t xml:space="preserve">If the awarded </w:t>
      </w:r>
      <w:r w:rsidR="00F72839">
        <w:t>grant</w:t>
      </w:r>
      <w:r>
        <w:t xml:space="preserve"> is lower than the </w:t>
      </w:r>
      <w:r w:rsidR="00217561">
        <w:t xml:space="preserve">estimated </w:t>
      </w:r>
      <w:r w:rsidRPr="004547E0">
        <w:t xml:space="preserve">budget required to implement </w:t>
      </w:r>
      <w:r w:rsidR="00757CC2">
        <w:t>the applicant’s requested</w:t>
      </w:r>
      <w:r w:rsidRPr="004547E0">
        <w:t xml:space="preserve"> activities</w:t>
      </w:r>
      <w:r>
        <w:t xml:space="preserve">, then the </w:t>
      </w:r>
      <w:r w:rsidR="00D1249B">
        <w:t>targets</w:t>
      </w:r>
      <w:r>
        <w:t xml:space="preserve"> </w:t>
      </w:r>
      <w:r w:rsidR="00757CC2">
        <w:t xml:space="preserve">for delivery </w:t>
      </w:r>
      <w:r>
        <w:t xml:space="preserve">will be </w:t>
      </w:r>
      <w:r w:rsidR="00BF50E4">
        <w:t xml:space="preserve">lowered </w:t>
      </w:r>
      <w:r>
        <w:t>proportionally</w:t>
      </w:r>
      <w:r w:rsidR="00592460">
        <w:t xml:space="preserve"> </w:t>
      </w:r>
      <w:r w:rsidR="00151082">
        <w:t>so</w:t>
      </w:r>
      <w:r w:rsidR="00592460">
        <w:t xml:space="preserve"> that </w:t>
      </w:r>
      <w:r w:rsidR="00757CC2">
        <w:t>the awarded grant is sufficient to reach them</w:t>
      </w:r>
      <w:r>
        <w:t>.</w:t>
      </w:r>
      <w:r w:rsidR="00757CC2">
        <w:rPr>
          <w:rStyle w:val="FootnoteReference"/>
        </w:rPr>
        <w:footnoteReference w:id="7"/>
      </w:r>
    </w:p>
    <w:sectPr w:rsidR="001C2FF2" w:rsidRPr="00A66D90" w:rsidSect="002029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88EC" w14:textId="77777777" w:rsidR="00202924" w:rsidRDefault="00202924" w:rsidP="002B26D6">
      <w:r>
        <w:separator/>
      </w:r>
    </w:p>
  </w:endnote>
  <w:endnote w:type="continuationSeparator" w:id="0">
    <w:p w14:paraId="2FB523E4" w14:textId="77777777" w:rsidR="00202924" w:rsidRDefault="00202924" w:rsidP="002B26D6">
      <w:r>
        <w:continuationSeparator/>
      </w:r>
    </w:p>
  </w:endnote>
  <w:endnote w:type="continuationNotice" w:id="1">
    <w:p w14:paraId="424FC764" w14:textId="77777777" w:rsidR="00202924" w:rsidRDefault="00202924"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panose1 w:val="020B06020202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F166" w14:textId="77777777" w:rsidR="00202924" w:rsidRDefault="00202924" w:rsidP="001764FE">
      <w:pPr>
        <w:pStyle w:val="FootnoteText"/>
      </w:pPr>
      <w:r>
        <w:separator/>
      </w:r>
    </w:p>
  </w:footnote>
  <w:footnote w:type="continuationSeparator" w:id="0">
    <w:p w14:paraId="348296E7" w14:textId="77777777" w:rsidR="00202924" w:rsidRDefault="00202924" w:rsidP="002B26D6">
      <w:r>
        <w:continuationSeparator/>
      </w:r>
    </w:p>
  </w:footnote>
  <w:footnote w:type="continuationNotice" w:id="1">
    <w:p w14:paraId="10D42DA1" w14:textId="77777777" w:rsidR="00202924" w:rsidRPr="007630F9" w:rsidRDefault="00202924" w:rsidP="002B26D6">
      <w:pPr>
        <w:pStyle w:val="Footer"/>
      </w:pPr>
    </w:p>
  </w:footnote>
  <w:footnote w:id="2">
    <w:p w14:paraId="650CD6A1" w14:textId="51FD0CEF" w:rsidR="007165D5" w:rsidRPr="001764FE" w:rsidRDefault="007165D5" w:rsidP="001764FE">
      <w:pPr>
        <w:pStyle w:val="FootnoteText"/>
      </w:pPr>
    </w:p>
  </w:footnote>
  <w:footnote w:id="3">
    <w:p w14:paraId="70BF8256" w14:textId="30103884" w:rsidR="00F10EC0" w:rsidRDefault="00665F81" w:rsidP="00F10EC0">
      <w:pPr>
        <w:pStyle w:val="FootnoteText"/>
      </w:pPr>
      <w:r w:rsidRPr="009C4E59">
        <w:rPr>
          <w:rStyle w:val="FootnoteReference"/>
        </w:rPr>
        <w:t xml:space="preserve">1 </w:t>
      </w:r>
      <w:r>
        <w:t>If additional funding becomes available, the National Agency may increase the available budget.</w:t>
      </w:r>
    </w:p>
    <w:p w14:paraId="6F82CDF5" w14:textId="23BAAA0C" w:rsidR="005B2CE0" w:rsidRPr="005C7ABA" w:rsidRDefault="005B2CE0" w:rsidP="00F10EC0">
      <w:pPr>
        <w:pStyle w:val="FootnoteText"/>
      </w:pPr>
      <w:r>
        <w:rPr>
          <w:rStyle w:val="FootnoteReference"/>
        </w:rPr>
        <w:footnoteRef/>
      </w:r>
      <w:r>
        <w:t xml:space="preserve"> Specified amounts may be lowered if all applicants have already been allocated the maximum amounts according to the ruleset out in this document, of if a minor correction is required due to rounding rules.</w:t>
      </w:r>
    </w:p>
  </w:footnote>
  <w:footnote w:id="4">
    <w:p w14:paraId="3478B0E6" w14:textId="4A2CE052" w:rsidR="00EE5AA4" w:rsidRPr="00EE5AA4" w:rsidRDefault="00EE5AA4">
      <w:pPr>
        <w:pStyle w:val="FootnoteText"/>
      </w:pPr>
      <w:r>
        <w:rPr>
          <w:rStyle w:val="FootnoteReference"/>
        </w:rPr>
        <w:footnoteRef/>
      </w:r>
      <w:r>
        <w:t xml:space="preserve"> </w:t>
      </w:r>
      <w:r w:rsidR="00F72F4F">
        <w:t>Maximum</w:t>
      </w:r>
      <w:r w:rsidRPr="00EE5AA4">
        <w:t xml:space="preserve"> grant for applicants under observation may be </w:t>
      </w:r>
      <w:r w:rsidR="00F72F4F">
        <w:t xml:space="preserve">further </w:t>
      </w:r>
      <w:r w:rsidRPr="00EE5AA4">
        <w:t xml:space="preserve">limited </w:t>
      </w:r>
      <w:r w:rsidR="00F72F4F">
        <w:t>by</w:t>
      </w:r>
      <w:r w:rsidRPr="00EE5AA4">
        <w:t xml:space="preserve"> the specific decision on establishment of observation measures</w:t>
      </w:r>
      <w:r>
        <w:t>.</w:t>
      </w:r>
    </w:p>
  </w:footnote>
  <w:footnote w:id="5">
    <w:p w14:paraId="1779E83C" w14:textId="01ABFE64" w:rsidR="003E69F3" w:rsidRPr="00602E22" w:rsidRDefault="003E69F3" w:rsidP="003E69F3">
      <w:pPr>
        <w:pStyle w:val="FootnoteText"/>
        <w:rPr>
          <w:lang w:val="en-US"/>
        </w:rPr>
      </w:pPr>
      <w:r>
        <w:rPr>
          <w:rStyle w:val="FootnoteReference"/>
        </w:rPr>
        <w:footnoteRef/>
      </w:r>
      <w:r>
        <w:t xml:space="preserve"> </w:t>
      </w:r>
      <w:r w:rsidR="00402B88">
        <w:t xml:space="preserve">Only </w:t>
      </w:r>
      <w:r w:rsidR="00E4163D">
        <w:t xml:space="preserve">KA121 </w:t>
      </w:r>
      <w:r w:rsidR="00402B88">
        <w:t xml:space="preserve">projects linked to the accreditation code referenced in the application can be </w:t>
      </w:r>
      <w:r w:rsidR="006740F4">
        <w:t>used</w:t>
      </w:r>
      <w:r w:rsidR="00A60220">
        <w:t xml:space="preserve"> for tracking past performance</w:t>
      </w:r>
      <w:r w:rsidR="00402B88">
        <w:t>.</w:t>
      </w:r>
      <w:r w:rsidR="00185949">
        <w:t xml:space="preserve"> For applicants that have completed only one or two projects, the highest absorbed grant will be determined based on those projects.</w:t>
      </w:r>
      <w:r>
        <w:rPr>
          <w:lang w:val="en-US"/>
        </w:rPr>
        <w:t xml:space="preserve"> In addition, f</w:t>
      </w:r>
      <w:r>
        <w:t xml:space="preserve">or organisations that have been re-accredited through the </w:t>
      </w:r>
      <w:r w:rsidRPr="00402B88">
        <w:t xml:space="preserve">light accreditation procedure, KA116 </w:t>
      </w:r>
      <w:r w:rsidR="00E4163D">
        <w:t xml:space="preserve">projects </w:t>
      </w:r>
      <w:r w:rsidRPr="00402B88">
        <w:t xml:space="preserve">linked to the former VET Mobility Charter </w:t>
      </w:r>
      <w:r w:rsidR="00822AE3">
        <w:t xml:space="preserve">will </w:t>
      </w:r>
      <w:r w:rsidRPr="00402B88">
        <w:t>be considered.</w:t>
      </w:r>
      <w:r w:rsidR="00757CC2">
        <w:t xml:space="preserve">  </w:t>
      </w:r>
      <w:r w:rsidR="00B91246">
        <w:t>T</w:t>
      </w:r>
      <w:r w:rsidR="00757CC2">
        <w:rPr>
          <w:lang w:val="en-US"/>
        </w:rPr>
        <w:t>he National Agency may exclude from consideration past projects that have been negatively affected by events outside of the beneficiary’s control (</w:t>
      </w:r>
      <w:r w:rsidR="00757CC2" w:rsidRPr="00D257C0">
        <w:rPr>
          <w:i/>
          <w:lang w:val="en-US"/>
        </w:rPr>
        <w:t>force majeure</w:t>
      </w:r>
      <w:r w:rsidR="00757CC2">
        <w:rPr>
          <w:lang w:val="en-US"/>
        </w:rPr>
        <w:t>).</w:t>
      </w:r>
    </w:p>
  </w:footnote>
  <w:footnote w:id="6">
    <w:p w14:paraId="06DD1DAF" w14:textId="748ADF25" w:rsidR="00A60220" w:rsidRPr="000E39F9" w:rsidRDefault="00A60220" w:rsidP="00A60220">
      <w:pPr>
        <w:pStyle w:val="FootnoteText"/>
        <w:rPr>
          <w:lang w:val="en-US"/>
        </w:rPr>
      </w:pPr>
      <w:r w:rsidRPr="00302A6D">
        <w:rPr>
          <w:rStyle w:val="FootnoteReference"/>
        </w:rPr>
        <w:footnoteRef/>
      </w:r>
      <w:r w:rsidRPr="00302A6D">
        <w:t xml:space="preserve"> If the budget available for allocation in this phase is not sufficient to perform the allocation in the described way, then all applicants will receive an amount reduced at the same rate, and not lower than the basic grant.</w:t>
      </w:r>
    </w:p>
  </w:footnote>
  <w:footnote w:id="7">
    <w:p w14:paraId="3EE64BDD" w14:textId="0E9F86C8" w:rsidR="00757CC2" w:rsidRPr="00F76A11" w:rsidRDefault="00757CC2">
      <w:pPr>
        <w:pStyle w:val="FootnoteText"/>
        <w:rPr>
          <w:lang w:val="en-US"/>
        </w:rPr>
      </w:pPr>
      <w:r>
        <w:rPr>
          <w:rStyle w:val="FootnoteReference"/>
        </w:rPr>
        <w:footnoteRef/>
      </w:r>
      <w:r>
        <w:t xml:space="preserve"> The National Agency can make limited modifications to the proportional adjustment to </w:t>
      </w:r>
      <w:r w:rsidRPr="00212ADC">
        <w:t xml:space="preserve">allow for a better fit between the awarded </w:t>
      </w:r>
      <w:r>
        <w:t>grant</w:t>
      </w:r>
      <w:r w:rsidRPr="00212ADC">
        <w:t xml:space="preserve"> and target activities, </w:t>
      </w:r>
      <w:r>
        <w:t>to ensure coherence with the approved Erasmus Plan, to provide adequate</w:t>
      </w:r>
      <w:r w:rsidRPr="00212ADC">
        <w:t xml:space="preserve"> support</w:t>
      </w:r>
      <w:r>
        <w:t xml:space="preserve"> for</w:t>
      </w:r>
      <w:r w:rsidRPr="00212ADC">
        <w:t xml:space="preserve"> priority activities, </w:t>
      </w:r>
      <w:r>
        <w:t>to m</w:t>
      </w:r>
      <w:r w:rsidRPr="00212ADC">
        <w:t>aintain at least one participant in each activity type and category requested by the applicant,</w:t>
      </w:r>
      <w:r>
        <w:t xml:space="preserve"> and to comply with rules defined </w:t>
      </w:r>
      <w:r w:rsidRPr="00212ADC">
        <w:t>in the Programme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A8185D"/>
    <w:multiLevelType w:val="hybridMultilevel"/>
    <w:tmpl w:val="E45652E4"/>
    <w:lvl w:ilvl="0" w:tplc="7E2868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77587C"/>
    <w:multiLevelType w:val="hybridMultilevel"/>
    <w:tmpl w:val="491E8DDA"/>
    <w:lvl w:ilvl="0" w:tplc="BD0646EC">
      <w:numFmt w:val="bullet"/>
      <w:lvlText w:val="-"/>
      <w:lvlJc w:val="left"/>
      <w:pPr>
        <w:ind w:left="720" w:hanging="360"/>
      </w:pPr>
      <w:rPr>
        <w:rFonts w:ascii="Segoe UI" w:eastAsia="Times New Roman"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C24C28"/>
    <w:multiLevelType w:val="multilevel"/>
    <w:tmpl w:val="DEE488DA"/>
    <w:lvl w:ilvl="0">
      <w:start w:val="100"/>
      <w:numFmt w:val="decimal"/>
      <w:lvlText w:val="%1.0"/>
      <w:lvlJc w:val="left"/>
      <w:pPr>
        <w:ind w:left="675" w:hanging="675"/>
      </w:pPr>
      <w:rPr>
        <w:rFonts w:hint="default"/>
      </w:rPr>
    </w:lvl>
    <w:lvl w:ilvl="1">
      <w:start w:val="1"/>
      <w:numFmt w:val="decimalZero"/>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0E50B32"/>
    <w:multiLevelType w:val="hybridMultilevel"/>
    <w:tmpl w:val="9DD0B11C"/>
    <w:lvl w:ilvl="0" w:tplc="1AB63B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6" w15:restartNumberingAfterBreak="0">
    <w:nsid w:val="40FA0816"/>
    <w:multiLevelType w:val="hybridMultilevel"/>
    <w:tmpl w:val="14D8E0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174F85"/>
    <w:multiLevelType w:val="multilevel"/>
    <w:tmpl w:val="363053F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2024100"/>
    <w:multiLevelType w:val="multilevel"/>
    <w:tmpl w:val="A19C7E66"/>
    <w:lvl w:ilvl="0">
      <w:start w:val="100"/>
      <w:numFmt w:val="decimal"/>
      <w:lvlText w:val="%1.0"/>
      <w:lvlJc w:val="left"/>
      <w:pPr>
        <w:ind w:left="675" w:hanging="675"/>
      </w:pPr>
      <w:rPr>
        <w:rFonts w:hint="default"/>
      </w:rPr>
    </w:lvl>
    <w:lvl w:ilvl="1">
      <w:start w:val="1"/>
      <w:numFmt w:val="decimalZero"/>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3BE2DF5"/>
    <w:multiLevelType w:val="hybridMultilevel"/>
    <w:tmpl w:val="FFCA8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8"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5"/>
  </w:num>
  <w:num w:numId="2" w16cid:durableId="1710766217">
    <w:abstractNumId w:val="11"/>
  </w:num>
  <w:num w:numId="3" w16cid:durableId="291593778">
    <w:abstractNumId w:val="21"/>
  </w:num>
  <w:num w:numId="4" w16cid:durableId="100615784">
    <w:abstractNumId w:val="10"/>
  </w:num>
  <w:num w:numId="5" w16cid:durableId="1816945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2"/>
  </w:num>
  <w:num w:numId="8" w16cid:durableId="1780375796">
    <w:abstractNumId w:val="27"/>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8"/>
  </w:num>
  <w:num w:numId="10" w16cid:durableId="1246646274">
    <w:abstractNumId w:val="23"/>
  </w:num>
  <w:num w:numId="11" w16cid:durableId="1202941940">
    <w:abstractNumId w:val="22"/>
  </w:num>
  <w:num w:numId="12" w16cid:durableId="1794052219">
    <w:abstractNumId w:val="20"/>
  </w:num>
  <w:num w:numId="13" w16cid:durableId="1027831124">
    <w:abstractNumId w:val="6"/>
  </w:num>
  <w:num w:numId="14" w16cid:durableId="1415591908">
    <w:abstractNumId w:val="19"/>
  </w:num>
  <w:num w:numId="15" w16cid:durableId="2115713188">
    <w:abstractNumId w:val="7"/>
  </w:num>
  <w:num w:numId="16" w16cid:durableId="1661154772">
    <w:abstractNumId w:val="28"/>
  </w:num>
  <w:num w:numId="17" w16cid:durableId="2126656577">
    <w:abstractNumId w:val="27"/>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4"/>
  </w:num>
  <w:num w:numId="19" w16cid:durableId="83693782">
    <w:abstractNumId w:val="13"/>
  </w:num>
  <w:num w:numId="20" w16cid:durableId="66657510">
    <w:abstractNumId w:val="27"/>
    <w:lvlOverride w:ilvl="0">
      <w:lvl w:ilvl="0">
        <w:start w:val="1"/>
        <w:numFmt w:val="decimal"/>
        <w:pStyle w:val="Heading1"/>
        <w:lvlText w:val="%1."/>
        <w:lvlJc w:val="left"/>
        <w:pPr>
          <w:ind w:left="357" w:hanging="357"/>
        </w:pPr>
        <w:rPr>
          <w:rFonts w:eastAsia="Times New Roman" w:hint="default"/>
          <w:b/>
          <w:i w:val="0"/>
          <w:sz w:val="28"/>
          <w:szCs w:val="28"/>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6"/>
  </w:num>
  <w:num w:numId="22" w16cid:durableId="99616564">
    <w:abstractNumId w:val="3"/>
  </w:num>
  <w:num w:numId="23" w16cid:durableId="1309171042">
    <w:abstractNumId w:val="2"/>
  </w:num>
  <w:num w:numId="24" w16cid:durableId="439683278">
    <w:abstractNumId w:val="25"/>
  </w:num>
  <w:num w:numId="25" w16cid:durableId="943465686">
    <w:abstractNumId w:val="17"/>
  </w:num>
  <w:num w:numId="26" w16cid:durableId="1272274754">
    <w:abstractNumId w:val="9"/>
  </w:num>
  <w:num w:numId="27" w16cid:durableId="1115515413">
    <w:abstractNumId w:val="24"/>
  </w:num>
  <w:num w:numId="28" w16cid:durableId="1923485747">
    <w:abstractNumId w:val="27"/>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9" w16cid:durableId="1781147325">
    <w:abstractNumId w:val="5"/>
  </w:num>
  <w:num w:numId="30" w16cid:durableId="1066950875">
    <w:abstractNumId w:val="16"/>
  </w:num>
  <w:num w:numId="31" w16cid:durableId="5741637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4CD"/>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6EFB"/>
    <w:rsid w:val="00027367"/>
    <w:rsid w:val="00027D9B"/>
    <w:rsid w:val="000329D4"/>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2CF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D3A"/>
    <w:rsid w:val="000A73D8"/>
    <w:rsid w:val="000B29B1"/>
    <w:rsid w:val="000B5374"/>
    <w:rsid w:val="000B621B"/>
    <w:rsid w:val="000B62AC"/>
    <w:rsid w:val="000B62F6"/>
    <w:rsid w:val="000B7A27"/>
    <w:rsid w:val="000C04F4"/>
    <w:rsid w:val="000C071C"/>
    <w:rsid w:val="000C296C"/>
    <w:rsid w:val="000C2F9C"/>
    <w:rsid w:val="000C394D"/>
    <w:rsid w:val="000C3B50"/>
    <w:rsid w:val="000C3B98"/>
    <w:rsid w:val="000C3F57"/>
    <w:rsid w:val="000C42E9"/>
    <w:rsid w:val="000C435E"/>
    <w:rsid w:val="000C4401"/>
    <w:rsid w:val="000C48F6"/>
    <w:rsid w:val="000C52D8"/>
    <w:rsid w:val="000C533F"/>
    <w:rsid w:val="000C5577"/>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D7651"/>
    <w:rsid w:val="000E09BF"/>
    <w:rsid w:val="000E4014"/>
    <w:rsid w:val="000E4679"/>
    <w:rsid w:val="000E47D7"/>
    <w:rsid w:val="000E4F04"/>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70BE"/>
    <w:rsid w:val="001471A8"/>
    <w:rsid w:val="00147B0B"/>
    <w:rsid w:val="00150A1A"/>
    <w:rsid w:val="00151082"/>
    <w:rsid w:val="00151AFF"/>
    <w:rsid w:val="00152790"/>
    <w:rsid w:val="0015324E"/>
    <w:rsid w:val="00153ACE"/>
    <w:rsid w:val="0015444A"/>
    <w:rsid w:val="001548E2"/>
    <w:rsid w:val="00154E8F"/>
    <w:rsid w:val="00154F3A"/>
    <w:rsid w:val="00155288"/>
    <w:rsid w:val="0015529A"/>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9CD"/>
    <w:rsid w:val="001F0BA0"/>
    <w:rsid w:val="001F1B83"/>
    <w:rsid w:val="001F22C8"/>
    <w:rsid w:val="001F4364"/>
    <w:rsid w:val="001F59B3"/>
    <w:rsid w:val="001F68CB"/>
    <w:rsid w:val="001F6EA5"/>
    <w:rsid w:val="00200376"/>
    <w:rsid w:val="002003AB"/>
    <w:rsid w:val="00201599"/>
    <w:rsid w:val="00202924"/>
    <w:rsid w:val="00202A25"/>
    <w:rsid w:val="00202CAE"/>
    <w:rsid w:val="002101E6"/>
    <w:rsid w:val="0021193B"/>
    <w:rsid w:val="00211BCF"/>
    <w:rsid w:val="00212015"/>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7D1"/>
    <w:rsid w:val="00225DEC"/>
    <w:rsid w:val="00226C7B"/>
    <w:rsid w:val="00227FDA"/>
    <w:rsid w:val="002308E2"/>
    <w:rsid w:val="00231263"/>
    <w:rsid w:val="002315B2"/>
    <w:rsid w:val="00231BE3"/>
    <w:rsid w:val="00235B50"/>
    <w:rsid w:val="0023625B"/>
    <w:rsid w:val="00236362"/>
    <w:rsid w:val="0023636C"/>
    <w:rsid w:val="00236F09"/>
    <w:rsid w:val="00240505"/>
    <w:rsid w:val="002409CA"/>
    <w:rsid w:val="00240A47"/>
    <w:rsid w:val="0024128B"/>
    <w:rsid w:val="002417B4"/>
    <w:rsid w:val="0024198E"/>
    <w:rsid w:val="002419F7"/>
    <w:rsid w:val="00242B98"/>
    <w:rsid w:val="00242E5C"/>
    <w:rsid w:val="00242FB7"/>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E6BE6"/>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2A6D"/>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2C5"/>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50D7"/>
    <w:rsid w:val="00441953"/>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979"/>
    <w:rsid w:val="00467FA5"/>
    <w:rsid w:val="004717D9"/>
    <w:rsid w:val="00471914"/>
    <w:rsid w:val="004732BE"/>
    <w:rsid w:val="0047380A"/>
    <w:rsid w:val="004740F8"/>
    <w:rsid w:val="0047571D"/>
    <w:rsid w:val="004776DF"/>
    <w:rsid w:val="00477866"/>
    <w:rsid w:val="00477E25"/>
    <w:rsid w:val="004809AB"/>
    <w:rsid w:val="00480F21"/>
    <w:rsid w:val="004815C7"/>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175D"/>
    <w:rsid w:val="00592460"/>
    <w:rsid w:val="00595EE8"/>
    <w:rsid w:val="005A11FE"/>
    <w:rsid w:val="005A24BC"/>
    <w:rsid w:val="005A2AE3"/>
    <w:rsid w:val="005A3205"/>
    <w:rsid w:val="005A531F"/>
    <w:rsid w:val="005A54D9"/>
    <w:rsid w:val="005A6140"/>
    <w:rsid w:val="005B06E9"/>
    <w:rsid w:val="005B0DB6"/>
    <w:rsid w:val="005B2CE0"/>
    <w:rsid w:val="005B335F"/>
    <w:rsid w:val="005B526F"/>
    <w:rsid w:val="005B570D"/>
    <w:rsid w:val="005B5870"/>
    <w:rsid w:val="005B6911"/>
    <w:rsid w:val="005B6A7C"/>
    <w:rsid w:val="005B7A46"/>
    <w:rsid w:val="005C04D3"/>
    <w:rsid w:val="005C064C"/>
    <w:rsid w:val="005C100F"/>
    <w:rsid w:val="005C1A5A"/>
    <w:rsid w:val="005C2C66"/>
    <w:rsid w:val="005C2D89"/>
    <w:rsid w:val="005C36D1"/>
    <w:rsid w:val="005C4429"/>
    <w:rsid w:val="005C474D"/>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3296"/>
    <w:rsid w:val="00614639"/>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3CD"/>
    <w:rsid w:val="00635624"/>
    <w:rsid w:val="00635BF8"/>
    <w:rsid w:val="00635FA0"/>
    <w:rsid w:val="006361E7"/>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308"/>
    <w:rsid w:val="00656E92"/>
    <w:rsid w:val="00656F6C"/>
    <w:rsid w:val="00657DFE"/>
    <w:rsid w:val="00657F5C"/>
    <w:rsid w:val="00662C66"/>
    <w:rsid w:val="00663D51"/>
    <w:rsid w:val="00664720"/>
    <w:rsid w:val="0066584C"/>
    <w:rsid w:val="00665B25"/>
    <w:rsid w:val="00665F81"/>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8E4"/>
    <w:rsid w:val="00675C2B"/>
    <w:rsid w:val="0067765E"/>
    <w:rsid w:val="00680064"/>
    <w:rsid w:val="006812D4"/>
    <w:rsid w:val="00681537"/>
    <w:rsid w:val="00682249"/>
    <w:rsid w:val="00684C35"/>
    <w:rsid w:val="00687BFF"/>
    <w:rsid w:val="00690191"/>
    <w:rsid w:val="00691C3E"/>
    <w:rsid w:val="0069242D"/>
    <w:rsid w:val="006931C7"/>
    <w:rsid w:val="006946BC"/>
    <w:rsid w:val="00694DA1"/>
    <w:rsid w:val="006960D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D7FA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8B9"/>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13F"/>
    <w:rsid w:val="00782681"/>
    <w:rsid w:val="00782D5F"/>
    <w:rsid w:val="007833A8"/>
    <w:rsid w:val="007845A5"/>
    <w:rsid w:val="00786EB2"/>
    <w:rsid w:val="0079260D"/>
    <w:rsid w:val="007926AB"/>
    <w:rsid w:val="00792925"/>
    <w:rsid w:val="00792B4D"/>
    <w:rsid w:val="007949F3"/>
    <w:rsid w:val="00794DD4"/>
    <w:rsid w:val="00795888"/>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2498"/>
    <w:rsid w:val="007E334B"/>
    <w:rsid w:val="007E3BAE"/>
    <w:rsid w:val="007E3FF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06E24"/>
    <w:rsid w:val="008101AF"/>
    <w:rsid w:val="00811653"/>
    <w:rsid w:val="00811D9C"/>
    <w:rsid w:val="0081305A"/>
    <w:rsid w:val="00813137"/>
    <w:rsid w:val="00814F52"/>
    <w:rsid w:val="008159AA"/>
    <w:rsid w:val="00815B21"/>
    <w:rsid w:val="00816186"/>
    <w:rsid w:val="0081643A"/>
    <w:rsid w:val="00816764"/>
    <w:rsid w:val="0081781D"/>
    <w:rsid w:val="0082163E"/>
    <w:rsid w:val="008219B3"/>
    <w:rsid w:val="00822AE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3E73"/>
    <w:rsid w:val="008F4138"/>
    <w:rsid w:val="008F43AC"/>
    <w:rsid w:val="008F52F6"/>
    <w:rsid w:val="008F560F"/>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4E59"/>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6C8"/>
    <w:rsid w:val="00A07B43"/>
    <w:rsid w:val="00A11B61"/>
    <w:rsid w:val="00A1334A"/>
    <w:rsid w:val="00A13A46"/>
    <w:rsid w:val="00A13AA9"/>
    <w:rsid w:val="00A144CC"/>
    <w:rsid w:val="00A14B71"/>
    <w:rsid w:val="00A15170"/>
    <w:rsid w:val="00A161B5"/>
    <w:rsid w:val="00A20D28"/>
    <w:rsid w:val="00A20DD6"/>
    <w:rsid w:val="00A214F6"/>
    <w:rsid w:val="00A21DE5"/>
    <w:rsid w:val="00A2285B"/>
    <w:rsid w:val="00A228E7"/>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2CCF"/>
    <w:rsid w:val="00A44A90"/>
    <w:rsid w:val="00A46746"/>
    <w:rsid w:val="00A46C68"/>
    <w:rsid w:val="00A521C0"/>
    <w:rsid w:val="00A5222A"/>
    <w:rsid w:val="00A522D5"/>
    <w:rsid w:val="00A53214"/>
    <w:rsid w:val="00A534FA"/>
    <w:rsid w:val="00A53943"/>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9771F"/>
    <w:rsid w:val="00AA00FF"/>
    <w:rsid w:val="00AA25B5"/>
    <w:rsid w:val="00AA3165"/>
    <w:rsid w:val="00AB0E1D"/>
    <w:rsid w:val="00AB146F"/>
    <w:rsid w:val="00AB195D"/>
    <w:rsid w:val="00AB2E14"/>
    <w:rsid w:val="00AB37A3"/>
    <w:rsid w:val="00AB4C63"/>
    <w:rsid w:val="00AB51CE"/>
    <w:rsid w:val="00AB558B"/>
    <w:rsid w:val="00AB5BE2"/>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D6FBE"/>
    <w:rsid w:val="00AE044B"/>
    <w:rsid w:val="00AE0594"/>
    <w:rsid w:val="00AE0E86"/>
    <w:rsid w:val="00AE178B"/>
    <w:rsid w:val="00AE1EF8"/>
    <w:rsid w:val="00AE207B"/>
    <w:rsid w:val="00AE23CE"/>
    <w:rsid w:val="00AE24CA"/>
    <w:rsid w:val="00AE3155"/>
    <w:rsid w:val="00AE3D71"/>
    <w:rsid w:val="00AE3ECF"/>
    <w:rsid w:val="00AE4EE1"/>
    <w:rsid w:val="00AE60C0"/>
    <w:rsid w:val="00AF105F"/>
    <w:rsid w:val="00AF5ABC"/>
    <w:rsid w:val="00AF6431"/>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B10"/>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FDF"/>
    <w:rsid w:val="00C01636"/>
    <w:rsid w:val="00C01A07"/>
    <w:rsid w:val="00C01AB1"/>
    <w:rsid w:val="00C03A2A"/>
    <w:rsid w:val="00C03A60"/>
    <w:rsid w:val="00C03CA0"/>
    <w:rsid w:val="00C0404D"/>
    <w:rsid w:val="00C042C7"/>
    <w:rsid w:val="00C054DF"/>
    <w:rsid w:val="00C058A0"/>
    <w:rsid w:val="00C063B0"/>
    <w:rsid w:val="00C107D5"/>
    <w:rsid w:val="00C120EC"/>
    <w:rsid w:val="00C12C09"/>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2B1A"/>
    <w:rsid w:val="00C84FFE"/>
    <w:rsid w:val="00C85C9C"/>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0C69"/>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827"/>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5EA"/>
    <w:rsid w:val="00E2373A"/>
    <w:rsid w:val="00E24046"/>
    <w:rsid w:val="00E2635B"/>
    <w:rsid w:val="00E2693B"/>
    <w:rsid w:val="00E276EC"/>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49B3"/>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0A64"/>
    <w:rsid w:val="00EA12B6"/>
    <w:rsid w:val="00EA133E"/>
    <w:rsid w:val="00EA1974"/>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894"/>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C12"/>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7CC"/>
    <w:rsid w:val="00F120DE"/>
    <w:rsid w:val="00F126A2"/>
    <w:rsid w:val="00F13C44"/>
    <w:rsid w:val="00F21C69"/>
    <w:rsid w:val="00F21CB7"/>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2F4F"/>
    <w:rsid w:val="00F75156"/>
    <w:rsid w:val="00F76088"/>
    <w:rsid w:val="00F76A11"/>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402"/>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 w:type="paragraph" w:customStyle="1" w:styleId="pf0">
    <w:name w:val="pf0"/>
    <w:basedOn w:val="Normal"/>
    <w:rsid w:val="00A228E7"/>
    <w:pPr>
      <w:spacing w:before="100" w:beforeAutospacing="1" w:after="100" w:afterAutospacing="1" w:line="240" w:lineRule="auto"/>
      <w:jc w:val="left"/>
    </w:pPr>
    <w:rPr>
      <w:rFonts w:ascii="Times New Roman" w:eastAsia="Times New Roman" w:hAnsi="Times New Roman" w:cs="Times New Roman"/>
      <w:bCs w:val="0"/>
      <w:sz w:val="24"/>
      <w:szCs w:val="24"/>
      <w:lang w:eastAsia="en-GB"/>
    </w:rPr>
  </w:style>
  <w:style w:type="character" w:customStyle="1" w:styleId="cf01">
    <w:name w:val="cf01"/>
    <w:basedOn w:val="DefaultParagraphFont"/>
    <w:rsid w:val="00A228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66541474">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15674114">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2024-01-11T10:32:00Z</dcterms:created>
  <dcterms:modified xsi:type="dcterms:W3CDTF">2024-01-11T10:32:00Z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